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9086C4" w14:textId="77777777" w:rsidR="003D701D" w:rsidRPr="0009666E" w:rsidRDefault="003D701D">
      <w:pPr>
        <w:rPr>
          <w:lang w:val="nl-NL"/>
        </w:rPr>
      </w:pPr>
      <w:r>
        <w:rPr>
          <w:noProof/>
          <w:lang w:val="nl-NL"/>
        </w:rPr>
        <w:drawing>
          <wp:anchor distT="0" distB="0" distL="114300" distR="114300" simplePos="0" relativeHeight="251660288" behindDoc="0" locked="0" layoutInCell="1" allowOverlap="1" wp14:anchorId="480C16B8" wp14:editId="12D06717">
            <wp:simplePos x="0" y="0"/>
            <wp:positionH relativeFrom="margin">
              <wp:align>center</wp:align>
            </wp:positionH>
            <wp:positionV relativeFrom="paragraph">
              <wp:posOffset>-352425</wp:posOffset>
            </wp:positionV>
            <wp:extent cx="1670050" cy="485775"/>
            <wp:effectExtent l="0" t="0" r="6350" b="9525"/>
            <wp:wrapNone/>
            <wp:docPr id="594406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406119" name="Picture 59440611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70050" cy="485775"/>
                    </a:xfrm>
                    <a:prstGeom prst="rect">
                      <a:avLst/>
                    </a:prstGeom>
                  </pic:spPr>
                </pic:pic>
              </a:graphicData>
            </a:graphic>
          </wp:anchor>
        </w:drawing>
      </w:r>
      <w:r>
        <w:rPr>
          <w:noProof/>
          <w:lang w:val="nl-NL"/>
        </w:rPr>
        <mc:AlternateContent>
          <mc:Choice Requires="wps">
            <w:drawing>
              <wp:anchor distT="0" distB="0" distL="114300" distR="114300" simplePos="0" relativeHeight="251659264" behindDoc="0" locked="0" layoutInCell="1" allowOverlap="1" wp14:anchorId="600F9374" wp14:editId="5098A886">
                <wp:simplePos x="0" y="0"/>
                <wp:positionH relativeFrom="margin">
                  <wp:align>center</wp:align>
                </wp:positionH>
                <wp:positionV relativeFrom="paragraph">
                  <wp:posOffset>-914400</wp:posOffset>
                </wp:positionV>
                <wp:extent cx="7562088" cy="466725"/>
                <wp:effectExtent l="0" t="0" r="1270" b="9525"/>
                <wp:wrapNone/>
                <wp:docPr id="1575295544" name="Rectangle 2"/>
                <wp:cNvGraphicFramePr/>
                <a:graphic xmlns:a="http://schemas.openxmlformats.org/drawingml/2006/main">
                  <a:graphicData uri="http://schemas.microsoft.com/office/word/2010/wordprocessingShape">
                    <wps:wsp>
                      <wps:cNvSpPr/>
                      <wps:spPr>
                        <a:xfrm>
                          <a:off x="0" y="0"/>
                          <a:ext cx="7562088" cy="466725"/>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B90B49" id="Rectangle 2" o:spid="_x0000_s1026" style="position:absolute;margin-left:0;margin-top:-1in;width:595.45pt;height:36.7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82umIeQIAAGIFAAAOAAAAZHJzL2Uyb0RvYy54bWysVE1v2zAMvQ/YfxB0X/2BJO2COkXQosOA oi3WDj2rslQbkEWNUuJkv36U7DhdV+ww7CJLIvkoPj/y/GLXGbZV6FuwFS9Ocs6UlVC39qXi3x+v P51x5oOwtTBgVcX3yvOL1ccP571bqhIaMLVCRiDWL3tX8SYEt8wyLxvVCX8CTlkyasBOBDriS1aj 6Am9M1mZ54usB6wdglTe0+3VYOSrhK+1kuFOa68CMxWnt4W0Ylqf45qtzsXyBYVrWjk+Q/zDKzrR Wko6QV2JINgG2z+gulYieNDhREKXgdatVKkGqqbI31Tz0AinUi1EjncTTf7/wcrb7YO7R6Khd37p aRur2Gns4pfex3aJrP1EltoFJunydL4o8zP6vZJss8XitJxHNrNjtEMfvijoWNxUHOlnJI7E9saH wfXgEpN5MG193RqTDlEA6tIg2wr6dUJKZUM5JvjN09jobyFGDqDxJjuWk3Zhb1T0M/ab0qytqYAy PSYp7W2iYjA1olZD/mKe50ksVN4UkYpNgBFZU/4JewR4r4hiLGL0j6EqCXUKzv/2sKHEKSJlBhum 4K61gO8BmDBlHvwPJA3URJaeod7fI0MY2sQ7ed3Sr7sRPtwLpL6gDqJeD3e0aAN9xWHccdYA/nzv PvqTXMnKWU99VnH/YyNQcWa+WhLy52I2i42ZDrP5aUkHfG15fm2xm+4SSA8FTRUn0zb6B3PYaoTu iUbCOmYlk7CScldcBjwcLsPQ/zRUpFqvkxs1oxPhxj44GcEjq1Gaj7sngW7UbyDl38KhJ8XyjYwH 3xhpYb0JoNuk8SOvI9/UyEk449CJk+L1OXkdR+PqFwAAAP//AwBQSwMEFAAGAAgAAAAhAPSzRA7e AAAACgEAAA8AAABkcnMvZG93bnJldi54bWxMj8FOwzAQRO9I/IO1SNxaO1VbmhCnahG9oF4ofIAT L0kgXkexm4a/Z3sqt92d0eybfDu5Tow4hNaThmSuQCBV3rZUa/j8OMw2IEI0ZE3nCTX8YoBtcX+X m8z6C73jeIq14BAKmdHQxNhnUoaqQWfC3PdIrH35wZnI61BLO5gLh7tOLpRaS2da4g+N6fGlwern dHYaXp1fHb/T0R0WbenlekNx/0ZaPz5Mu2cQEad4M8MVn9GhYKbSn8kG0WngIlHDLFkuebrqSapS ECXfntQKZJHL/xWKPwAAAP//AwBQSwECLQAUAAYACAAAACEAtoM4kv4AAADhAQAAEwAAAAAAAAAA AAAAAAAAAAAAW0NvbnRlbnRfVHlwZXNdLnhtbFBLAQItABQABgAIAAAAIQA4/SH/1gAAAJQBAAAL AAAAAAAAAAAAAAAAAC8BAABfcmVscy8ucmVsc1BLAQItABQABgAIAAAAIQA82umIeQIAAGIFAAAO AAAAAAAAAAAAAAAAAC4CAABkcnMvZTJvRG9jLnhtbFBLAQItABQABgAIAAAAIQD0s0QO3gAAAAoB AAAPAAAAAAAAAAAAAAAAANMEAABkcnMvZG93bnJldi54bWxQSwUGAAAAAAQABADzAAAA3gUAAAAA " fillcolor="#2073b0 [3205]" stroked="f" strokeweight="1pt">
                <w10:wrap anchorx="margin"/>
              </v:rect>
            </w:pict>
          </mc:Fallback>
        </mc:AlternateContent>
      </w:r>
      <w:r>
        <w:rPr>
          <w:lang w:val="nl-NL"/>
        </w:rPr>
        <w:t xml:space="preserve"> </w:t>
      </w:r>
    </w:p>
    <w:p w14:paraId="368ED510" w14:textId="77777777" w:rsidR="007909F5" w:rsidRPr="0009666E" w:rsidRDefault="00331292">
      <w:pPr>
        <w:pStyle w:val="Titel"/>
        <w:rPr>
          <w:lang w:val="nl-NL"/>
        </w:rPr>
      </w:pPr>
      <w:r>
        <w:rPr>
          <w:lang w:val="nl-NL"/>
        </w:rPr>
        <w:t>Wat elke partij al doet en kan bijdragen</w:t>
      </w:r>
    </w:p>
    <w:p w14:paraId="209098B6" w14:textId="77777777" w:rsidR="007909F5" w:rsidRPr="0009666E" w:rsidRDefault="00331292">
      <w:pPr>
        <w:pStyle w:val="Ondertitel"/>
        <w:rPr>
          <w:lang w:val="nl-NL"/>
        </w:rPr>
      </w:pPr>
      <w:r>
        <w:rPr>
          <w:lang w:val="nl-NL"/>
        </w:rPr>
        <w:t>Context bij het exploitatievraagstuk van de ontmoetingsruimte. Geen verdeling, wel begrip over en weer.</w:t>
      </w:r>
    </w:p>
    <w:p w14:paraId="663F460C" w14:textId="77777777" w:rsidR="007909F5" w:rsidRPr="0009666E" w:rsidRDefault="00331292">
      <w:pPr>
        <w:spacing w:before="120" w:after="240"/>
        <w:rPr>
          <w:i/>
          <w:color w:val="A5A5A5"/>
          <w:lang w:val="nl-NL"/>
        </w:rPr>
      </w:pPr>
      <w:r>
        <w:rPr>
          <w:i/>
          <w:color w:val="A5A5A5"/>
          <w:lang w:val="nl-NL"/>
        </w:rPr>
        <w:t>18 juni 2026</w:t>
      </w:r>
    </w:p>
    <w:p w14:paraId="246F2296" w14:textId="77777777" w:rsidR="007909F5" w:rsidRPr="0009666E" w:rsidRDefault="00331292">
      <w:pPr>
        <w:pStyle w:val="Kop1"/>
        <w:rPr>
          <w:lang w:val="nl-NL"/>
        </w:rPr>
      </w:pPr>
      <w:r>
        <w:rPr>
          <w:lang w:val="nl-NL"/>
        </w:rPr>
        <w:t>Waarvoor deze uitleg is</w:t>
      </w:r>
    </w:p>
    <w:p w14:paraId="568EA15E" w14:textId="77777777" w:rsidR="007909F5" w:rsidRPr="0009666E" w:rsidRDefault="00331292">
      <w:pPr>
        <w:rPr>
          <w:lang w:val="nl-NL"/>
        </w:rPr>
      </w:pPr>
      <w:r>
        <w:rPr>
          <w:lang w:val="nl-NL"/>
        </w:rPr>
        <w:t>Dit stuk helpt coalitiepartners elkaar te begrijpen. Het laat zien wat elke partij rond de ontmoetingsruimte al doet en wat de reikwijdte is van wat zij kan bijdragen. Het schrijft geen verdeling voor. Een verdeling is situationeel: ze verschilt per flat, per coalitie en per moment en de partijen maken haar zelf aan tafel. De waarde van dit stuk zit in het gedeelde beeld waarmee partijen aan tafel komen voordat ze die afspraak maken.</w:t>
      </w:r>
    </w:p>
    <w:p w14:paraId="38D17AED" w14:textId="77777777" w:rsidR="007909F5" w:rsidRPr="0009666E" w:rsidRDefault="00331292">
      <w:pPr>
        <w:rPr>
          <w:lang w:val="nl-NL"/>
        </w:rPr>
      </w:pPr>
      <w:r>
        <w:rPr>
          <w:lang w:val="nl-NL"/>
        </w:rPr>
        <w:t>Eén regel over de cijfers. Ze zijn indicatief en dienen als context: ze laten de orde van grootte van de baten zien, geen afrekening. De baten van langer thuis wonen zijn deels uitstel en landen vaak bij een andere partij dan die de kosten draagt. Gebruik de cijfers om de opgave te begrijpen, niet om een bijdrage te berekenen.</w:t>
      </w:r>
    </w:p>
    <w:p w14:paraId="57659F87" w14:textId="77777777" w:rsidR="007909F5" w:rsidRPr="0009666E" w:rsidRDefault="00331292">
      <w:pPr>
        <w:pStyle w:val="Kop1"/>
        <w:rPr>
          <w:lang w:val="nl-NL"/>
        </w:rPr>
      </w:pPr>
      <w:r>
        <w:rPr>
          <w:lang w:val="nl-NL"/>
        </w:rPr>
        <w:t>Hoe je naar het tekort kunt kijken</w:t>
      </w:r>
    </w:p>
    <w:p w14:paraId="70A5D82E" w14:textId="77777777" w:rsidR="007909F5" w:rsidRPr="0009666E" w:rsidRDefault="00331292">
      <w:pPr>
        <w:pStyle w:val="Kop2"/>
        <w:rPr>
          <w:lang w:val="nl-NL"/>
        </w:rPr>
      </w:pPr>
      <w:r>
        <w:rPr>
          <w:lang w:val="nl-NL"/>
        </w:rPr>
        <w:t>Van exploitatietekort naar aanvullende vraag</w:t>
      </w:r>
    </w:p>
    <w:p w14:paraId="25634A42" w14:textId="226A59D8" w:rsidR="007909F5" w:rsidRPr="0009666E" w:rsidRDefault="00331292">
      <w:pPr>
        <w:rPr>
          <w:lang w:val="nl-NL"/>
        </w:rPr>
      </w:pPr>
      <w:r>
        <w:rPr>
          <w:lang w:val="nl-NL"/>
        </w:rPr>
        <w:t>Het vertrekpunt is dat de partijen al bijdragen. Het stadsdeel heeft welzijnsgeld beschikt vanuit de sociale basis; dat geld is toegezegd en kun je niet zomaar herverdelen. Corporaties vragen voor ontmoetingsruimten soms al een lagere huur dan kostendekkend. Het zorgkantoor betaalt vanuit de DOS-middelen de projectleiders en de langer-thuiscoaches. Voor de drie pilotflats van Eigen Haard dragen de gemeente en Eigen Haard het tekort sinds juni 2025 bovendien tijdelijk samen, anderhalf jaar en elk een evenredig deel; die tussenoplossing laat zien dat partijen bereid zijn samen te dragen. Het exploitatietekort is het deel dat na al die inzet ongedekt blijft. De vraag aan elke partij is daarom niet wie de rekening overneemt, maar of zij de continuïteit van de Lang Leven Thuisflat belangrijk genoeg vindt om aanvullend bij te leggen. Dat is een eerlijkere vraag dan een herverdeling van wat al loopt.</w:t>
      </w:r>
    </w:p>
    <w:p w14:paraId="6D248F07" w14:textId="77777777" w:rsidR="007909F5" w:rsidRPr="0009666E" w:rsidRDefault="00331292">
      <w:pPr>
        <w:rPr>
          <w:lang w:val="nl-NL"/>
        </w:rPr>
      </w:pPr>
      <w:r>
        <w:rPr>
          <w:lang w:val="nl-NL"/>
        </w:rPr>
        <w:t xml:space="preserve">Het uitgangspunt is realisme. Er stroomt vanuit alle domeinen substantieel geld naar Lang Leven Thuisflats, maar dat is geen geldboom. Wat je hier bijlegt, kan niet elders. De </w:t>
      </w:r>
      <w:proofErr w:type="spellStart"/>
      <w:r>
        <w:rPr>
          <w:lang w:val="nl-NL"/>
        </w:rPr>
        <w:t>rijksfinanciering</w:t>
      </w:r>
      <w:proofErr w:type="spellEnd"/>
      <w:r>
        <w:rPr>
          <w:lang w:val="nl-NL"/>
        </w:rPr>
        <w:t xml:space="preserve"> voor het woonconcept is voor volgend jaar bovendien niet zeker en de opvolger van de huidige middelen ligt niet vast. Wie wacht op die duidelijkheid begint het gesprek te laat. Door nu uit te gaan van een tekort ben je op elke uitkomst voorbereid. Komt er rijksgeld, dan daalt de aanvullende vraag aan de partijen. Komt het niet, dan ligt er een gedragen aanpak.</w:t>
      </w:r>
    </w:p>
    <w:p w14:paraId="2E900391" w14:textId="77777777" w:rsidR="007909F5" w:rsidRPr="0009666E" w:rsidRDefault="00331292">
      <w:pPr>
        <w:pStyle w:val="Kop2"/>
        <w:rPr>
          <w:lang w:val="nl-NL"/>
        </w:rPr>
      </w:pPr>
      <w:r>
        <w:rPr>
          <w:lang w:val="nl-NL"/>
        </w:rPr>
        <w:lastRenderedPageBreak/>
        <w:t>Waarom lostrekken van de begroting werkt</w:t>
      </w:r>
    </w:p>
    <w:p w14:paraId="65E5AD9C" w14:textId="77777777" w:rsidR="007909F5" w:rsidRPr="0009666E" w:rsidRDefault="00331292">
      <w:pPr>
        <w:rPr>
          <w:lang w:val="nl-NL"/>
        </w:rPr>
      </w:pPr>
      <w:r>
        <w:rPr>
          <w:lang w:val="nl-NL"/>
        </w:rPr>
        <w:t>De RVO/EHA-paper Ontmoetingsruimten in de wijk stelt vast dat geen enkele partij binnen het stelsel de middelen in handen heeft om een ontmoetingsruimte structureel te exploiteren, en dat het knelpunt juist in de exploitatie en de huur zit. Zolang het gesprek over de huurpost gaat, wijst elke partij naar het stelsel: dit past niet in mijn geldstroom. Door de bijdrage te positioneren als investering in de opgave verschuift de vraag van wie de huur betaalt naar wie mee investeert in het resultaat.</w:t>
      </w:r>
    </w:p>
    <w:p w14:paraId="37423501" w14:textId="77777777" w:rsidR="007909F5" w:rsidRPr="0009666E" w:rsidRDefault="00331292">
      <w:pPr>
        <w:rPr>
          <w:lang w:val="nl-NL"/>
        </w:rPr>
      </w:pPr>
      <w:proofErr w:type="spellStart"/>
      <w:r>
        <w:rPr>
          <w:lang w:val="nl-NL"/>
        </w:rPr>
        <w:t>SiRM</w:t>
      </w:r>
      <w:proofErr w:type="spellEnd"/>
      <w:r>
        <w:rPr>
          <w:lang w:val="nl-NL"/>
        </w:rPr>
        <w:t xml:space="preserve"> onderbouwt dat de maatschappelijke baten van investeringen in woonzorgvoorzieningen de kosten overtreffen, maar dat kosten en baten bij verschillende partijen vallen. Precies dat coördinatieprobleem los je op met een gezamenlijke investeringsafspraak in plaats van een kostentoerekening. Die lijn sluit aan op Pionieren in Niemandsland (Ben Sajet Centrum, in opdracht van VWS, aangeboden aan de Tweede Kamer): de winst van de komende jaren ligt in het niemandsland tussen de domeinen, en daar zijn gezamenlijke sturing en financiering voor nodig.</w:t>
      </w:r>
    </w:p>
    <w:p w14:paraId="01F84075" w14:textId="77777777" w:rsidR="007909F5" w:rsidRPr="0009666E" w:rsidRDefault="00331292">
      <w:pPr>
        <w:rPr>
          <w:lang w:val="nl-NL"/>
        </w:rPr>
      </w:pPr>
      <w:r>
        <w:rPr>
          <w:lang w:val="nl-NL"/>
        </w:rPr>
        <w:t xml:space="preserve">Wat het uitstel van zware zorg waard is, geeft de orde van grootte aan. Een verpleeghuisplek kost op basis van de </w:t>
      </w:r>
      <w:proofErr w:type="spellStart"/>
      <w:r>
        <w:rPr>
          <w:lang w:val="nl-NL"/>
        </w:rPr>
        <w:t>NZa</w:t>
      </w:r>
      <w:proofErr w:type="spellEnd"/>
      <w:r>
        <w:rPr>
          <w:lang w:val="nl-NL"/>
        </w:rPr>
        <w:t xml:space="preserve">-dagtarieven 2025 </w:t>
      </w:r>
      <w:proofErr w:type="gramStart"/>
      <w:r>
        <w:rPr>
          <w:lang w:val="nl-NL"/>
        </w:rPr>
        <w:t>ongeveer 90.000</w:t>
      </w:r>
      <w:proofErr w:type="gramEnd"/>
      <w:r>
        <w:rPr>
          <w:lang w:val="nl-NL"/>
        </w:rPr>
        <w:t xml:space="preserve"> tot 135.000 euro per jaar, afhankelijk van het zorgprofiel. De DOS-experimenten (Significant Public, in opdracht van VWS) laten een indicatieve </w:t>
      </w:r>
      <w:proofErr w:type="spellStart"/>
      <w:r>
        <w:rPr>
          <w:lang w:val="nl-NL"/>
        </w:rPr>
        <w:t>Wlz</w:t>
      </w:r>
      <w:proofErr w:type="spellEnd"/>
      <w:r>
        <w:rPr>
          <w:lang w:val="nl-NL"/>
        </w:rPr>
        <w:t>-besparing van 38.400 euro per cliënt zien; in Ede werd opname gemiddeld acht maanden uitgesteld. Eén uitgestelde opname per jaar overstijgt het exploitatietekort van een ontmoetingsruimte dus ruimschoots. Deze cijfers zijn indicatief en dienen als context; ze onderbouwen geen verdeling, want de baten zijn deels uitstel en landen deels bij andere partijen dan die de kosten dragen.</w:t>
      </w:r>
    </w:p>
    <w:p w14:paraId="2BCD7ADB" w14:textId="77777777" w:rsidR="007909F5" w:rsidRPr="0009666E" w:rsidRDefault="00331292">
      <w:pPr>
        <w:pStyle w:val="Kop2"/>
        <w:rPr>
          <w:lang w:val="nl-NL"/>
        </w:rPr>
      </w:pPr>
      <w:r>
        <w:rPr>
          <w:lang w:val="nl-NL"/>
        </w:rPr>
        <w:t>Eén juridische spelregel</w:t>
      </w:r>
    </w:p>
    <w:p w14:paraId="04EEFFCD" w14:textId="77777777" w:rsidR="007909F5" w:rsidRPr="0009666E" w:rsidRDefault="00331292">
      <w:pPr>
        <w:rPr>
          <w:lang w:val="nl-NL"/>
        </w:rPr>
      </w:pPr>
      <w:r>
        <w:rPr>
          <w:lang w:val="nl-NL"/>
        </w:rPr>
        <w:t>Hoe je het tekort ook framet, de geldstroomregels blijven gelden. De accountant van het zorgkantoor volgt de euro: de DOS-bijdrage moet aantoonbaar naar preventieve maatregelen gaan en mag niet in de huur verdwijnen. Richt de begroting daarom in met één integraal investeringsbedrag voor het arrangement, met daarbinnen een geoormerkt programmadeel waar de zorgkantoorbijdrage op landt. Zo blijft het verhaal bestuurlijk één geheel en juridisch zuiver.</w:t>
      </w:r>
    </w:p>
    <w:p w14:paraId="5FD81697" w14:textId="77777777" w:rsidR="007909F5" w:rsidRPr="0009666E" w:rsidRDefault="00331292">
      <w:pPr>
        <w:pStyle w:val="Kop1"/>
        <w:rPr>
          <w:lang w:val="nl-NL"/>
        </w:rPr>
      </w:pPr>
      <w:r>
        <w:rPr>
          <w:lang w:val="nl-NL"/>
        </w:rPr>
        <w:t>Wat elke partij al doet en kan bijdragen</w:t>
      </w:r>
    </w:p>
    <w:p w14:paraId="7FE784C1" w14:textId="77777777" w:rsidR="00365EE8" w:rsidRPr="00F76D61" w:rsidRDefault="00331292">
      <w:pPr>
        <w:rPr>
          <w:lang w:val="nl-NL"/>
        </w:rPr>
      </w:pPr>
      <w:r w:rsidRPr="00F76D61">
        <w:rPr>
          <w:lang w:val="nl-NL"/>
        </w:rPr>
        <w:t>In elke flat werken twee teams over de domeinen wonen, zorg en welzijn heen. Het flatteam bestaat uit de projectleider, de langer-thuiscoach en een medewerker vanuit wonen, welzijn en zorg. Het kernteam uit de projectleider en een leidinggevende vanuit dezelfde drie domeinen. Elke partij hieronder levert daaraan vanuit haar eigen rol en mogelijkheden.</w:t>
      </w:r>
    </w:p>
    <w:p w14:paraId="6FDCE183" w14:textId="77777777" w:rsidR="007909F5" w:rsidRPr="0009666E" w:rsidRDefault="00331292">
      <w:pPr>
        <w:pStyle w:val="Kop2"/>
        <w:rPr>
          <w:lang w:val="nl-NL"/>
        </w:rPr>
      </w:pPr>
      <w:r>
        <w:rPr>
          <w:lang w:val="nl-NL"/>
        </w:rPr>
        <w:t>Gemeente en stadsdeel</w:t>
      </w:r>
    </w:p>
    <w:p w14:paraId="07C4531B" w14:textId="77777777" w:rsidR="007909F5" w:rsidRPr="0009666E" w:rsidRDefault="00331292">
      <w:pPr>
        <w:rPr>
          <w:lang w:val="nl-NL"/>
        </w:rPr>
      </w:pPr>
      <w:r>
        <w:rPr>
          <w:lang w:val="nl-NL"/>
        </w:rPr>
        <w:t>Bestaande inzet: het stadsdeel heeft welzijnsgeld beschikt vanuit de sociale basis. Dat geld is toegezegd aan de welzijnsorganisatie en telt als de huidige gemeentelijke bijdrage aan het arrangement. Een aanvullende bijdrage komt daar bovenop, als het stadsdeel de continuïteit belangrijk genoeg vindt.</w:t>
      </w:r>
    </w:p>
    <w:p w14:paraId="11B4F7AC" w14:textId="77777777" w:rsidR="007909F5" w:rsidRPr="0009666E" w:rsidRDefault="00331292">
      <w:pPr>
        <w:rPr>
          <w:lang w:val="nl-NL"/>
        </w:rPr>
      </w:pPr>
      <w:r>
        <w:rPr>
          <w:lang w:val="nl-NL"/>
        </w:rPr>
        <w:t xml:space="preserve">Rol: de gemeente heeft het breedste mandaat op de opgave. </w:t>
      </w:r>
      <w:proofErr w:type="spellStart"/>
      <w:r>
        <w:rPr>
          <w:lang w:val="nl-NL"/>
        </w:rPr>
        <w:t>Wmo</w:t>
      </w:r>
      <w:proofErr w:type="spellEnd"/>
      <w:r>
        <w:rPr>
          <w:lang w:val="nl-NL"/>
        </w:rPr>
        <w:t xml:space="preserve">, sociale basis, dagbesteding, mantelzorg- en vrijwilligersondersteuning en het opdrachtgeverschap richting welzijn komen hier </w:t>
      </w:r>
      <w:r>
        <w:rPr>
          <w:lang w:val="nl-NL"/>
        </w:rPr>
        <w:lastRenderedPageBreak/>
        <w:t>samen. Het Amsterdamse coalitieakkoord 2026 tot 2030 benoemt uitbreiding van LLTF naar elk stadsdeel als doel. Dat geeft de gemeente de breedste rol in dit vraagstuk.</w:t>
      </w:r>
    </w:p>
    <w:p w14:paraId="668E3230" w14:textId="77777777" w:rsidR="007909F5" w:rsidRPr="0009666E" w:rsidRDefault="00331292">
      <w:pPr>
        <w:rPr>
          <w:lang w:val="nl-NL"/>
        </w:rPr>
      </w:pPr>
      <w:r>
        <w:rPr>
          <w:lang w:val="nl-NL"/>
        </w:rPr>
        <w:t xml:space="preserve">Ter context, niet als rekensom: </w:t>
      </w:r>
      <w:proofErr w:type="spellStart"/>
      <w:r>
        <w:rPr>
          <w:lang w:val="nl-NL"/>
        </w:rPr>
        <w:t>Knarrenhof</w:t>
      </w:r>
      <w:proofErr w:type="spellEnd"/>
      <w:r>
        <w:rPr>
          <w:lang w:val="nl-NL"/>
        </w:rPr>
        <w:t xml:space="preserve"> rapporteert </w:t>
      </w:r>
      <w:proofErr w:type="gramStart"/>
      <w:r>
        <w:rPr>
          <w:lang w:val="nl-NL"/>
        </w:rPr>
        <w:t>circa</w:t>
      </w:r>
      <w:proofErr w:type="gramEnd"/>
      <w:r>
        <w:rPr>
          <w:lang w:val="nl-NL"/>
        </w:rPr>
        <w:t xml:space="preserve"> 800 euro per woning per jaar aan </w:t>
      </w:r>
      <w:proofErr w:type="spellStart"/>
      <w:r>
        <w:rPr>
          <w:lang w:val="nl-NL"/>
        </w:rPr>
        <w:t>Wmo</w:t>
      </w:r>
      <w:proofErr w:type="spellEnd"/>
      <w:r>
        <w:rPr>
          <w:lang w:val="nl-NL"/>
        </w:rPr>
        <w:t>-besparing, wat op flatniveau het exploitatietekort al snel overstijgt en Austerlitz Zorgt bespaart de gemeente Zeist aantoonbaar meer dan haar jaarlijkse bijdrage aan het initiatief. Het Welzijn op Recept-onderzoek nuanceert dat beeld: voor gemeenten is preventie eerst een kostenpost terwijl de financiële baten deels elders landen. Het AZWA werkt toe naar structurele financiering van de sociale basisinfrastructuur vanaf 2030, met regie bij gemeente en preferente zorgverzekeraar; dat verankert de rol van de gemeente verder.</w:t>
      </w:r>
    </w:p>
    <w:p w14:paraId="6E10C244" w14:textId="77777777" w:rsidR="007909F5" w:rsidRPr="0009666E" w:rsidRDefault="00331292">
      <w:pPr>
        <w:rPr>
          <w:lang w:val="nl-NL"/>
        </w:rPr>
      </w:pPr>
      <w:r>
        <w:t xml:space="preserve">Criterium </w:t>
      </w:r>
      <w:proofErr w:type="spellStart"/>
      <w:r>
        <w:t>buurtruimte</w:t>
      </w:r>
      <w:proofErr w:type="spellEnd"/>
      <w:r>
        <w:t xml:space="preserve">: </w:t>
      </w:r>
      <w:proofErr w:type="spellStart"/>
      <w:r>
        <w:t>voor</w:t>
      </w:r>
      <w:proofErr w:type="spellEnd"/>
      <w:r>
        <w:t xml:space="preserve"> </w:t>
      </w:r>
      <w:proofErr w:type="spellStart"/>
      <w:r>
        <w:t>plaatsing</w:t>
      </w:r>
      <w:proofErr w:type="spellEnd"/>
      <w:r>
        <w:t xml:space="preserve"> </w:t>
      </w:r>
      <w:proofErr w:type="spellStart"/>
      <w:r>
        <w:t>binnen</w:t>
      </w:r>
      <w:proofErr w:type="spellEnd"/>
      <w:r>
        <w:t xml:space="preserve"> Sociale Basis is </w:t>
      </w:r>
      <w:proofErr w:type="spellStart"/>
      <w:r>
        <w:t>een</w:t>
      </w:r>
      <w:proofErr w:type="spellEnd"/>
      <w:r>
        <w:t xml:space="preserve"> </w:t>
      </w:r>
      <w:proofErr w:type="spellStart"/>
      <w:r>
        <w:t>aantoonbare</w:t>
      </w:r>
      <w:proofErr w:type="spellEnd"/>
      <w:r>
        <w:t xml:space="preserve"> </w:t>
      </w:r>
      <w:proofErr w:type="spellStart"/>
      <w:r>
        <w:t>bijdrage</w:t>
      </w:r>
      <w:proofErr w:type="spellEnd"/>
      <w:r>
        <w:t xml:space="preserve"> </w:t>
      </w:r>
      <w:proofErr w:type="spellStart"/>
      <w:r>
        <w:t>aan</w:t>
      </w:r>
      <w:proofErr w:type="spellEnd"/>
      <w:r>
        <w:t xml:space="preserve"> de </w:t>
      </w:r>
      <w:proofErr w:type="spellStart"/>
      <w:r>
        <w:t>buurt</w:t>
      </w:r>
      <w:proofErr w:type="spellEnd"/>
      <w:r>
        <w:t xml:space="preserve"> </w:t>
      </w:r>
      <w:proofErr w:type="spellStart"/>
      <w:r>
        <w:t>vereist</w:t>
      </w:r>
      <w:proofErr w:type="spellEnd"/>
      <w:r>
        <w:t xml:space="preserve">. </w:t>
      </w:r>
      <w:proofErr w:type="spellStart"/>
      <w:r>
        <w:t>Concreet</w:t>
      </w:r>
      <w:proofErr w:type="spellEnd"/>
      <w:r>
        <w:t xml:space="preserve">: </w:t>
      </w:r>
      <w:proofErr w:type="spellStart"/>
      <w:r>
        <w:t>openstelling</w:t>
      </w:r>
      <w:proofErr w:type="spellEnd"/>
      <w:r>
        <w:t xml:space="preserve">, </w:t>
      </w:r>
      <w:proofErr w:type="spellStart"/>
      <w:r>
        <w:t>gebruikersaantallen</w:t>
      </w:r>
      <w:proofErr w:type="spellEnd"/>
      <w:r>
        <w:t xml:space="preserve"> </w:t>
      </w:r>
      <w:proofErr w:type="spellStart"/>
      <w:r>
        <w:t>uit</w:t>
      </w:r>
      <w:proofErr w:type="spellEnd"/>
      <w:r>
        <w:t xml:space="preserve"> de </w:t>
      </w:r>
      <w:proofErr w:type="spellStart"/>
      <w:r>
        <w:t>buurt</w:t>
      </w:r>
      <w:proofErr w:type="spellEnd"/>
      <w:r>
        <w:t xml:space="preserve">, </w:t>
      </w:r>
      <w:proofErr w:type="spellStart"/>
      <w:r>
        <w:t>een</w:t>
      </w:r>
      <w:proofErr w:type="spellEnd"/>
      <w:r>
        <w:t xml:space="preserve"> </w:t>
      </w:r>
      <w:proofErr w:type="spellStart"/>
      <w:r>
        <w:t>programma</w:t>
      </w:r>
      <w:proofErr w:type="spellEnd"/>
      <w:r>
        <w:t xml:space="preserve"> </w:t>
      </w:r>
      <w:proofErr w:type="spellStart"/>
      <w:r>
        <w:t>dat</w:t>
      </w:r>
      <w:proofErr w:type="spellEnd"/>
      <w:r>
        <w:t xml:space="preserve"> </w:t>
      </w:r>
      <w:proofErr w:type="spellStart"/>
      <w:r>
        <w:t>verder</w:t>
      </w:r>
      <w:proofErr w:type="spellEnd"/>
      <w:r>
        <w:t xml:space="preserve"> </w:t>
      </w:r>
      <w:proofErr w:type="spellStart"/>
      <w:r>
        <w:t>reikt</w:t>
      </w:r>
      <w:proofErr w:type="spellEnd"/>
      <w:r>
        <w:t xml:space="preserve"> dan de eigen </w:t>
      </w:r>
      <w:proofErr w:type="spellStart"/>
      <w:r>
        <w:t>bewoners</w:t>
      </w:r>
      <w:proofErr w:type="spellEnd"/>
      <w:r>
        <w:t xml:space="preserve">. Bij </w:t>
      </w:r>
      <w:proofErr w:type="spellStart"/>
      <w:r>
        <w:t>twijfel</w:t>
      </w:r>
      <w:proofErr w:type="spellEnd"/>
      <w:r>
        <w:t xml:space="preserve"> over Type B: leg </w:t>
      </w:r>
      <w:proofErr w:type="spellStart"/>
      <w:r>
        <w:t>deze</w:t>
      </w:r>
      <w:proofErr w:type="spellEnd"/>
      <w:r>
        <w:t xml:space="preserve"> </w:t>
      </w:r>
      <w:proofErr w:type="spellStart"/>
      <w:r>
        <w:t>gegevens</w:t>
      </w:r>
      <w:proofErr w:type="spellEnd"/>
      <w:r>
        <w:t xml:space="preserve"> </w:t>
      </w:r>
      <w:proofErr w:type="spellStart"/>
      <w:r>
        <w:t>vroeg</w:t>
      </w:r>
      <w:proofErr w:type="spellEnd"/>
      <w:r>
        <w:t xml:space="preserve"> vast. Zonder </w:t>
      </w:r>
      <w:proofErr w:type="spellStart"/>
      <w:r>
        <w:t>aantoonbare</w:t>
      </w:r>
      <w:proofErr w:type="spellEnd"/>
      <w:r>
        <w:t xml:space="preserve"> </w:t>
      </w:r>
      <w:proofErr w:type="spellStart"/>
      <w:r>
        <w:t>buurtbijdrage</w:t>
      </w:r>
      <w:proofErr w:type="spellEnd"/>
      <w:r>
        <w:t xml:space="preserve"> past de </w:t>
      </w:r>
      <w:proofErr w:type="spellStart"/>
      <w:r>
        <w:t>ruimte</w:t>
      </w:r>
      <w:proofErr w:type="spellEnd"/>
      <w:r>
        <w:t xml:space="preserve"> </w:t>
      </w:r>
      <w:proofErr w:type="spellStart"/>
      <w:r>
        <w:t>niet</w:t>
      </w:r>
      <w:proofErr w:type="spellEnd"/>
      <w:r>
        <w:t xml:space="preserve"> in het Sociale Basis-</w:t>
      </w:r>
      <w:proofErr w:type="spellStart"/>
      <w:r>
        <w:t>kader</w:t>
      </w:r>
      <w:proofErr w:type="spellEnd"/>
      <w:r>
        <w:t>.</w:t>
      </w:r>
    </w:p>
    <w:p w14:paraId="782837D2" w14:textId="77777777" w:rsidR="007909F5" w:rsidRPr="0009666E" w:rsidRDefault="00331292">
      <w:pPr>
        <w:pStyle w:val="Kop2"/>
        <w:rPr>
          <w:lang w:val="nl-NL"/>
        </w:rPr>
      </w:pPr>
      <w:r>
        <w:rPr>
          <w:lang w:val="nl-NL"/>
        </w:rPr>
        <w:t>Woningcorporatie</w:t>
      </w:r>
    </w:p>
    <w:p w14:paraId="39F27212" w14:textId="77777777" w:rsidR="007909F5" w:rsidRPr="0009666E" w:rsidRDefault="00331292">
      <w:pPr>
        <w:rPr>
          <w:lang w:val="nl-NL"/>
        </w:rPr>
      </w:pPr>
      <w:r>
        <w:rPr>
          <w:lang w:val="nl-NL"/>
        </w:rPr>
        <w:t>Bestaande inzet: de corporatie stelt de ruimte in de plint beschikbaar, vraagt daarvoor vaak al een lagere huur dan kostendekkend, draagt bij uit het leefbaarheidsbudget binnen het DAEB-kader en verzorgt het technisch beheer. Let op: een bijdrage in natura bestaat niet. Oppervlakte zonder kostendekkende huur is derving, een echte kostenpost in de jaarrekening. Een mogelijke bijdrage is daarom precies te formuleren: het accepteren van (meer) derving op de ruimte voor het grotere doel, eventueel aangevuld met een kasbijdrage aan het samenwerkingsverband.</w:t>
      </w:r>
    </w:p>
    <w:p w14:paraId="250EDCE8" w14:textId="77777777" w:rsidR="007909F5" w:rsidRPr="0009666E" w:rsidRDefault="00331292">
      <w:pPr>
        <w:rPr>
          <w:lang w:val="nl-NL"/>
        </w:rPr>
      </w:pPr>
      <w:r>
        <w:rPr>
          <w:lang w:val="nl-NL"/>
        </w:rPr>
        <w:t xml:space="preserve">Die derving zichtbaar maken en waarderen is essentieel; het maakt de corporatiebijdrage volwaardig en telbaar. De corporatie bezit de flat en de ruimte in de plint, heeft een wettelijke leefbaarheidstaak en profiteert van verhuurbaarheid, minder mutatie- en overlastkosten en doorstroming, want één seniorenverhuizing brengt een keten van vervolgverhuizingen op gang. RIGO en de businesscase Dementievriendelijk Wonen laten zien dat corporaties nu vaak onrendabel investeren terwijl de besparing elders landt; inzicht in die scheefheid helpt partijen er rekening mee te houden. De Woningwet staat toe dat de corporatie bijdraagt aan de exploitatie van een ontmoetingsruimte en een rol in de </w:t>
      </w:r>
      <w:proofErr w:type="spellStart"/>
      <w:r>
        <w:rPr>
          <w:lang w:val="nl-NL"/>
        </w:rPr>
        <w:t>governance</w:t>
      </w:r>
      <w:proofErr w:type="spellEnd"/>
      <w:r>
        <w:rPr>
          <w:lang w:val="nl-NL"/>
        </w:rPr>
        <w:t xml:space="preserve"> neemt, maar niet dat zij werkgever is van de inzet in de ruimte.</w:t>
      </w:r>
    </w:p>
    <w:p w14:paraId="463D64E2" w14:textId="77777777" w:rsidR="007909F5" w:rsidRPr="0009666E" w:rsidRDefault="00331292">
      <w:pPr>
        <w:pStyle w:val="Kop2"/>
        <w:rPr>
          <w:lang w:val="nl-NL"/>
        </w:rPr>
      </w:pPr>
      <w:r>
        <w:rPr>
          <w:lang w:val="nl-NL"/>
        </w:rPr>
        <w:t>VVT-zorgaanbieder</w:t>
      </w:r>
    </w:p>
    <w:p w14:paraId="3C53F936" w14:textId="77777777" w:rsidR="007909F5" w:rsidRPr="0009666E" w:rsidRDefault="00331292">
      <w:pPr>
        <w:rPr>
          <w:lang w:val="nl-NL"/>
        </w:rPr>
      </w:pPr>
      <w:r>
        <w:rPr>
          <w:lang w:val="nl-NL"/>
        </w:rPr>
        <w:t xml:space="preserve">Bestaande inzet: de VVT, de aanbieder van verpleging, verzorging en thuiszorg, draagt al bij in personeelskosten. Zij levert menskracht in het flatteam en het kernteam en vult zo een kerndoel in: zorg nabij, </w:t>
      </w:r>
      <w:proofErr w:type="spellStart"/>
      <w:r>
        <w:rPr>
          <w:lang w:val="nl-NL"/>
        </w:rPr>
        <w:t>vroegsignalering</w:t>
      </w:r>
      <w:proofErr w:type="spellEnd"/>
      <w:r>
        <w:rPr>
          <w:lang w:val="nl-NL"/>
        </w:rPr>
        <w:t xml:space="preserve"> en een vast team in de flat.</w:t>
      </w:r>
    </w:p>
    <w:p w14:paraId="7C8C4E8D" w14:textId="77777777" w:rsidR="007909F5" w:rsidRPr="0009666E" w:rsidRDefault="00331292">
      <w:pPr>
        <w:rPr>
          <w:lang w:val="nl-NL"/>
        </w:rPr>
      </w:pPr>
      <w:r>
        <w:rPr>
          <w:lang w:val="nl-NL"/>
        </w:rPr>
        <w:t xml:space="preserve">Een mogelijke aanvullende bijdrage is financieel, en daar is potentieel ruimte voor zolang VPT bestaat. Het VPT-dagtarief uit de </w:t>
      </w:r>
      <w:proofErr w:type="spellStart"/>
      <w:r>
        <w:rPr>
          <w:lang w:val="nl-NL"/>
        </w:rPr>
        <w:t>Wlz</w:t>
      </w:r>
      <w:proofErr w:type="spellEnd"/>
      <w:r>
        <w:rPr>
          <w:lang w:val="nl-NL"/>
        </w:rPr>
        <w:t xml:space="preserve">, het volledig pakket thuis dat de zorg thuis levert, omvat nu naast verpleging en verzorging ook begeleiding, activiteiten, dagbesteding en de coördinatie van zorg en welzijn. Bij geclusterd wonen, zoals in de flats, neemt de aanbieder die welzijnscoördinatie expliciet op zich. Waar VPT-cliënten in de flat wonen, kun je een deel van de activiteiten- en welzijnskosten dus legitiem uit het zorgbudget dekken. Let op: VPT wordt herzien. Voor geclusterd wonen blijft het </w:t>
      </w:r>
      <w:r>
        <w:rPr>
          <w:lang w:val="nl-NL"/>
        </w:rPr>
        <w:lastRenderedPageBreak/>
        <w:t>voorlopig bestaan, maar vanaf 2028 vervangt een nieuwe leveringsvorm zowel MPT als VPT, en het is onzeker of de welzijnscomponent in dezelfde vorm terugkomt. Bouw hier dus niet structureel op. Daar komt efficiencywinst bij: een vast zorgteam is rendabel bij voldoende cliëntvolume en de ruimte verkort reistijden en maakt groepsgewijze ondersteuning mogelijk.</w:t>
      </w:r>
    </w:p>
    <w:p w14:paraId="2DAE716F" w14:textId="77777777" w:rsidR="007909F5" w:rsidRPr="0009666E" w:rsidRDefault="00331292">
      <w:pPr>
        <w:rPr>
          <w:lang w:val="nl-NL"/>
        </w:rPr>
      </w:pPr>
      <w:r>
        <w:rPr>
          <w:lang w:val="nl-NL"/>
        </w:rPr>
        <w:t>De omvang van wat de VVT kan bijdragen beweegt mee met het aantal VPT-cliënten in de flat; dat maakt de mogelijke VVT-bijdrage per flat verschillend. De VVT is daarnaast het natuurlijke kanaal voor een projectmatige zorgkantoorbijdrage.</w:t>
      </w:r>
    </w:p>
    <w:p w14:paraId="18426CB1" w14:textId="77777777" w:rsidR="007909F5" w:rsidRPr="0009666E" w:rsidRDefault="00331292">
      <w:pPr>
        <w:pStyle w:val="Kop2"/>
        <w:rPr>
          <w:lang w:val="nl-NL"/>
        </w:rPr>
      </w:pPr>
      <w:r>
        <w:rPr>
          <w:lang w:val="nl-NL"/>
        </w:rPr>
        <w:t>Zorgkantoor en zorgverzekeraar</w:t>
      </w:r>
    </w:p>
    <w:p w14:paraId="47509313" w14:textId="77777777" w:rsidR="007909F5" w:rsidRPr="0009666E" w:rsidRDefault="00331292">
      <w:pPr>
        <w:rPr>
          <w:lang w:val="nl-NL"/>
        </w:rPr>
      </w:pPr>
      <w:r>
        <w:rPr>
          <w:lang w:val="nl-NL"/>
        </w:rPr>
        <w:t>Bestaande inzet: het zorgkantoor betaalt nu al de projectleiders en de langer-thuiscoaches uit tijdelijke DOS-middelen, en draagt daarnaast bij met transitiemiddelen, waaruit onder meer het project zorgtechnologie wordt betaald. Dat is een substantiële bijdrage die je in het gesprek moet erkennen. Een mogelijke aanvullende bijdrage is klein en geoormerkt: een projectbijdrage voor preventieactiviteiten in de ruimte.</w:t>
      </w:r>
    </w:p>
    <w:p w14:paraId="79271265" w14:textId="77777777" w:rsidR="007909F5" w:rsidRPr="0009666E" w:rsidRDefault="00331292">
      <w:pPr>
        <w:rPr>
          <w:lang w:val="nl-NL"/>
        </w:rPr>
      </w:pPr>
      <w:r>
        <w:rPr>
          <w:lang w:val="nl-NL"/>
        </w:rPr>
        <w:t xml:space="preserve">Wettelijk kader: tot 2025 liep dit via de tijdelijke SPUK-DOS, waarbij het zorgkantoor maximaal tachtig procent van de projectkosten financierde en de partners de rest droegen. Sinds 1 januari 2026 is de Wet </w:t>
      </w:r>
      <w:proofErr w:type="spellStart"/>
      <w:r>
        <w:rPr>
          <w:lang w:val="nl-NL"/>
        </w:rPr>
        <w:t>domeinoverstijgende</w:t>
      </w:r>
      <w:proofErr w:type="spellEnd"/>
      <w:r>
        <w:rPr>
          <w:lang w:val="nl-NL"/>
        </w:rPr>
        <w:t xml:space="preserve"> samenwerking operationeel: die maakt het structureel mogelijk dat het zorgkantoor bijdraagt aan preventieve maatregelen met een aannemelijke businesscase, maar de precieze voorwaarden worden nog uitgewerkt en worden onderdeel van het inkoopbeleid 2027. Vastgoed en huur blijven uitgesloten; de bijdrage moet aantoonbaar naar preventie. Hier is de </w:t>
      </w:r>
      <w:proofErr w:type="spellStart"/>
      <w:r>
        <w:rPr>
          <w:lang w:val="nl-NL"/>
        </w:rPr>
        <w:t>baten-analyse</w:t>
      </w:r>
      <w:proofErr w:type="spellEnd"/>
      <w:r>
        <w:rPr>
          <w:lang w:val="nl-NL"/>
        </w:rPr>
        <w:t xml:space="preserve"> relevant: de besparingen op uitgestelde zware zorg zijn reëel en groot, maar ze landen in de landelijke </w:t>
      </w:r>
      <w:proofErr w:type="spellStart"/>
      <w:r>
        <w:rPr>
          <w:lang w:val="nl-NL"/>
        </w:rPr>
        <w:t>Wlz</w:t>
      </w:r>
      <w:proofErr w:type="spellEnd"/>
      <w:r>
        <w:rPr>
          <w:lang w:val="nl-NL"/>
        </w:rPr>
        <w:t>-kas en niet bij het regionale zorgkantoor, dat binnen een vast macrokader uitvoert. Daarom is een mogelijke zorgbijdrage projectmatig en voorwaardelijk, ondanks de perceptie dat het zorgkantoor de grootste baten heeft. Vervalt de positieve businesscase, dan vervalt die bijdrage.</w:t>
      </w:r>
    </w:p>
    <w:p w14:paraId="6AF9AC5E" w14:textId="77777777" w:rsidR="007909F5" w:rsidRPr="0009666E" w:rsidRDefault="00331292">
      <w:pPr>
        <w:pStyle w:val="Kop2"/>
        <w:rPr>
          <w:lang w:val="nl-NL"/>
        </w:rPr>
      </w:pPr>
      <w:r>
        <w:rPr>
          <w:lang w:val="nl-NL"/>
        </w:rPr>
        <w:t>Bewoners</w:t>
      </w:r>
    </w:p>
    <w:p w14:paraId="07567FC6" w14:textId="6B6DED8F" w:rsidR="007909F5" w:rsidRPr="0009666E" w:rsidRDefault="00331292">
      <w:pPr>
        <w:rPr>
          <w:lang w:val="nl-NL"/>
        </w:rPr>
      </w:pPr>
      <w:r>
        <w:rPr>
          <w:lang w:val="nl-NL"/>
        </w:rPr>
        <w:t xml:space="preserve">Bewoners zijn geen financierende partij; op hun bijdrage kun je structureel niet rekenen. Hun waarde zit in eigenaarschap: een bescheiden, zichtbare bijdrage per activiteit of via een lidmaatschap vergroot het draagvlak en verlaagt het te dekken </w:t>
      </w:r>
      <w:proofErr w:type="gramStart"/>
      <w:r>
        <w:rPr>
          <w:lang w:val="nl-NL"/>
        </w:rPr>
        <w:t>tekort</w:t>
      </w:r>
      <w:proofErr w:type="gramEnd"/>
      <w:r>
        <w:rPr>
          <w:lang w:val="nl-NL"/>
        </w:rPr>
        <w:t>. De verdeelnorm van de Huurcommissie voor servicekosten van gemeenschappelijke ruimten blijft beschikbaar als instrument, maar past beter bij de klassieke huurbenadering; gebruik hem alleen als de bewonerscommissie er zelf voor kiest.</w:t>
      </w:r>
    </w:p>
    <w:p w14:paraId="1C707884" w14:textId="77777777" w:rsidR="007909F5" w:rsidRPr="0009666E" w:rsidRDefault="00331292">
      <w:pPr>
        <w:pStyle w:val="Kop2"/>
        <w:rPr>
          <w:lang w:val="nl-NL"/>
        </w:rPr>
      </w:pPr>
      <w:r>
        <w:rPr>
          <w:lang w:val="nl-NL"/>
        </w:rPr>
        <w:t>Welzijnsorganisatie</w:t>
      </w:r>
    </w:p>
    <w:p w14:paraId="21CC3287" w14:textId="77777777" w:rsidR="007909F5" w:rsidRPr="0009666E" w:rsidRDefault="00331292">
      <w:pPr>
        <w:rPr>
          <w:lang w:val="nl-NL"/>
        </w:rPr>
      </w:pPr>
      <w:r>
        <w:rPr>
          <w:lang w:val="nl-NL"/>
        </w:rPr>
        <w:t xml:space="preserve">De welzijnsorganisatie levert de community builder, de programmering en de opbouwwerker die de ontmoetingsruimte verbindt met het buurtaanbod en met bewoners uit de wijk. Zij wordt in Amsterdam beschikt door het stadsdeel. Haar inzet is dus geen eigen kasstroom maar uitvoering van het gemeentelijke deel. Dat voorkomt dubbeltelling en houdt de </w:t>
      </w:r>
      <w:proofErr w:type="spellStart"/>
      <w:r>
        <w:rPr>
          <w:lang w:val="nl-NL"/>
        </w:rPr>
        <w:t>governance</w:t>
      </w:r>
      <w:proofErr w:type="spellEnd"/>
      <w:r>
        <w:rPr>
          <w:lang w:val="nl-NL"/>
        </w:rPr>
        <w:t xml:space="preserve"> zuiver: het stadsdeel beslist, welzijn voert uit.</w:t>
      </w:r>
    </w:p>
    <w:p w14:paraId="31BB1EF7" w14:textId="77777777" w:rsidR="007909F5" w:rsidRPr="0009666E" w:rsidRDefault="00331292">
      <w:pPr>
        <w:pStyle w:val="Kop1"/>
        <w:rPr>
          <w:lang w:val="nl-NL"/>
        </w:rPr>
      </w:pPr>
      <w:r>
        <w:rPr>
          <w:lang w:val="nl-NL"/>
        </w:rPr>
        <w:lastRenderedPageBreak/>
        <w:t>Het sentiment rond het zorgkantoor</w:t>
      </w:r>
    </w:p>
    <w:p w14:paraId="729FACDD" w14:textId="77777777" w:rsidR="007909F5" w:rsidRPr="0009666E" w:rsidRDefault="00331292">
      <w:pPr>
        <w:rPr>
          <w:lang w:val="nl-NL"/>
        </w:rPr>
      </w:pPr>
      <w:r>
        <w:rPr>
          <w:lang w:val="nl-NL"/>
        </w:rPr>
        <w:t xml:space="preserve">Het beeld dat het zorgkantoor de grootste batendrager is, klopt deels, maar niet zoals gedacht. Wat klopt: de grootste euro’s zitten in de </w:t>
      </w:r>
      <w:proofErr w:type="spellStart"/>
      <w:r>
        <w:rPr>
          <w:lang w:val="nl-NL"/>
        </w:rPr>
        <w:t>Wlz</w:t>
      </w:r>
      <w:proofErr w:type="spellEnd"/>
      <w:r>
        <w:rPr>
          <w:lang w:val="nl-NL"/>
        </w:rPr>
        <w:t xml:space="preserve">, en het Welzijn op Recept-onderzoek bevestigt dat de financiële besparingen vooral bij zorgkantoren en zorgverzekeraars vallen. Wat het nuanceert: zorgkantoren voeren de </w:t>
      </w:r>
      <w:proofErr w:type="spellStart"/>
      <w:r>
        <w:rPr>
          <w:lang w:val="nl-NL"/>
        </w:rPr>
        <w:t>Wlz</w:t>
      </w:r>
      <w:proofErr w:type="spellEnd"/>
      <w:r>
        <w:rPr>
          <w:lang w:val="nl-NL"/>
        </w:rPr>
        <w:t xml:space="preserve"> uit binnen een door de minister vastgesteld macrokader en hebben geen eigen winst- en verliesrekening op vermeden zorg. De baten landen in de landelijke kas.</w:t>
      </w:r>
    </w:p>
    <w:p w14:paraId="72B790E5" w14:textId="77777777" w:rsidR="007909F5" w:rsidRPr="0009666E" w:rsidRDefault="00331292">
      <w:pPr>
        <w:rPr>
          <w:lang w:val="nl-NL"/>
        </w:rPr>
      </w:pPr>
      <w:r>
        <w:rPr>
          <w:lang w:val="nl-NL"/>
        </w:rPr>
        <w:t xml:space="preserve">De baten zijn bovendien reëel en zichtbaar. Analyses van vergelijkbare woon-zorginitiatieven en DOS-experimenten laten zien dat vanuit zulke woonvormen ongeveer een kwart minder mensen doorstromen naar het verpleeghuis dan vanuit de gewone thuissituatie, en dat wie eerst in zo'n woonvorm woonde gemiddeld ongeveer zestig dagen korter in het verpleeghuis verblijft. Voor de Lang Leven Thuisflats zelf is nog geen aparte analyse gedaan; de verwachte potentie is gebaseerd op deze vergelijkbare initiatieven en </w:t>
      </w:r>
      <w:proofErr w:type="spellStart"/>
      <w:r>
        <w:rPr>
          <w:lang w:val="nl-NL"/>
        </w:rPr>
        <w:t>settings</w:t>
      </w:r>
      <w:proofErr w:type="spellEnd"/>
      <w:r>
        <w:rPr>
          <w:lang w:val="nl-NL"/>
        </w:rPr>
        <w:t xml:space="preserve">. Landelijk telt dit mee in de beoogde </w:t>
      </w:r>
      <w:proofErr w:type="spellStart"/>
      <w:r>
        <w:rPr>
          <w:lang w:val="nl-NL"/>
        </w:rPr>
        <w:t>Wlz</w:t>
      </w:r>
      <w:proofErr w:type="spellEnd"/>
      <w:r>
        <w:rPr>
          <w:lang w:val="nl-NL"/>
        </w:rPr>
        <w:t xml:space="preserve">-besparing die oploopt tot een miljard per jaar. Tegelijk is er een waterbedeffect: uitstel van opname betekent meer en zwaardere zorg thuis, in de DOS-experimenten gemiddeld </w:t>
      </w:r>
      <w:proofErr w:type="gramStart"/>
      <w:r>
        <w:rPr>
          <w:lang w:val="nl-NL"/>
        </w:rPr>
        <w:t>circa</w:t>
      </w:r>
      <w:proofErr w:type="gramEnd"/>
      <w:r>
        <w:rPr>
          <w:lang w:val="nl-NL"/>
        </w:rPr>
        <w:t xml:space="preserve"> 5.000 euro extra </w:t>
      </w:r>
      <w:proofErr w:type="spellStart"/>
      <w:r>
        <w:rPr>
          <w:lang w:val="nl-NL"/>
        </w:rPr>
        <w:t>Wmo</w:t>
      </w:r>
      <w:proofErr w:type="spellEnd"/>
      <w:r>
        <w:rPr>
          <w:lang w:val="nl-NL"/>
        </w:rPr>
        <w:t xml:space="preserve"> en 6.400 euro extra </w:t>
      </w:r>
      <w:proofErr w:type="spellStart"/>
      <w:r>
        <w:rPr>
          <w:lang w:val="nl-NL"/>
        </w:rPr>
        <w:t>Zvw</w:t>
      </w:r>
      <w:proofErr w:type="spellEnd"/>
      <w:r>
        <w:rPr>
          <w:lang w:val="nl-NL"/>
        </w:rPr>
        <w:t xml:space="preserve"> per cliënt, per saldo nog steeds een besparing. Het Ben Sajet/</w:t>
      </w:r>
      <w:proofErr w:type="spellStart"/>
      <w:r>
        <w:rPr>
          <w:lang w:val="nl-NL"/>
        </w:rPr>
        <w:t>HvA</w:t>
      </w:r>
      <w:proofErr w:type="spellEnd"/>
      <w:r>
        <w:rPr>
          <w:lang w:val="nl-NL"/>
        </w:rPr>
        <w:t>-onderzoek tekent daarbij aan dat de causaliteit tussen meer gemeenschapszin en lagere zorgkosten wetenschappelijk nog niet sluitend is; de richting is duidelijk, de exacte toerekening nog niet.</w:t>
      </w:r>
    </w:p>
    <w:p w14:paraId="073E8FB7" w14:textId="77777777" w:rsidR="007909F5" w:rsidRPr="0009666E" w:rsidRDefault="00331292">
      <w:pPr>
        <w:rPr>
          <w:lang w:val="nl-NL"/>
        </w:rPr>
      </w:pPr>
      <w:r>
        <w:rPr>
          <w:lang w:val="nl-NL"/>
        </w:rPr>
        <w:t xml:space="preserve">Voor aan tafel betekent dit: de grootste potentiële baten, vermeden en uitgestelde zware zorg, zijn reëel en groot, maar ze landen in de collectieve </w:t>
      </w:r>
      <w:proofErr w:type="spellStart"/>
      <w:r>
        <w:rPr>
          <w:lang w:val="nl-NL"/>
        </w:rPr>
        <w:t>Wlz</w:t>
      </w:r>
      <w:proofErr w:type="spellEnd"/>
      <w:r>
        <w:rPr>
          <w:lang w:val="nl-NL"/>
        </w:rPr>
        <w:t>-kas en niet als winst bij het regionale zorgkantoor. Het zorgkantoor draagt bovendien al substantieel bij via de DOS-middelen en de transitiemiddelen. Sinds 1 januari 2026 biedt de Wet DOS hiervoor een structurele basis. Het zorgkantoor kan onder deze wet niet alleen projectmatig maar ook structureel bijdragen aan de preventie die de gezamenlijke inzet rendabel maakt, mits die inzet aantoonbaar tot lagere zorgkosten leidt en er cofinanciering vanuit de andere domeinen is. Zo kan de partij met het grootste maatschappelijke baatperspectief herkenbaar bijdragen, zonder dat je iets vraagt wat wettelijk niet mag.</w:t>
      </w:r>
    </w:p>
    <w:p w14:paraId="061C0FF7" w14:textId="77777777" w:rsidR="007909F5" w:rsidRPr="0009666E" w:rsidRDefault="00331292">
      <w:pPr>
        <w:pStyle w:val="Kop1"/>
        <w:rPr>
          <w:lang w:val="nl-NL"/>
        </w:rPr>
      </w:pPr>
      <w:r>
        <w:rPr>
          <w:lang w:val="nl-NL"/>
        </w:rPr>
        <w:t>Waarom een verdeling situationeel is</w:t>
      </w:r>
    </w:p>
    <w:p w14:paraId="7D9D17D8" w14:textId="3C7D65E5" w:rsidR="007909F5" w:rsidRPr="0009666E" w:rsidRDefault="00331292">
      <w:pPr>
        <w:rPr>
          <w:lang w:val="nl-NL"/>
        </w:rPr>
      </w:pPr>
      <w:r>
        <w:rPr>
          <w:lang w:val="nl-NL"/>
        </w:rPr>
        <w:t>Wat elke partij kan bijdragen verschilt per flat. Het hangt af van het mandaat en de budgetruimte van de partijen op dat moment, en van het aantal VPT-cliënten in de flat. Daarom is er geen standaardverdeling. De ene flat leunt zwaarder op de gemeente en de corporatie, de andere heeft meer ruimte in het zorgdomein. De verdeling maak je per flat, op basis van wat hierboven per partij mogelijk is. Welke kansen liggen er?  Zijn er parallelle organisatiedoelen te behalen? Bijv</w:t>
      </w:r>
      <w:r w:rsidR="002B2195">
        <w:rPr>
          <w:lang w:val="nl-NL"/>
        </w:rPr>
        <w:t>oorbeeld</w:t>
      </w:r>
      <w:r>
        <w:rPr>
          <w:lang w:val="nl-NL"/>
        </w:rPr>
        <w:t xml:space="preserve"> inloopdagbesteding of dagbesteding WLZ of een inloophuis: kan de ontmoetingsruimte meerdere functies tegelijkertijd vervullen zodat kosten vanuit andere geldstromen gedekt worden. </w:t>
      </w:r>
    </w:p>
    <w:p w14:paraId="0EA8C49D" w14:textId="089DD9EF" w:rsidR="007909F5" w:rsidRPr="0009666E" w:rsidRDefault="00331292">
      <w:pPr>
        <w:rPr>
          <w:lang w:val="nl-NL"/>
        </w:rPr>
      </w:pPr>
      <w:r>
        <w:rPr>
          <w:lang w:val="nl-NL"/>
        </w:rPr>
        <w:t>Twee praktische punten helpen dat gesprek. Maak met de corporatie een gedeelde afspraak over hoe je derving op de ruimte waardeert, zodat die bijdrage telbaar wordt. En houd een eventuele zorgkantoorbijdrage administratief geoormerkt, zodat ze juridisch zuiver blijft. Zoek naar maatschappelijke kansen door de ontmoetingsruimte een bredere of dubbele functies te geven.</w:t>
      </w:r>
    </w:p>
    <w:p w14:paraId="7B8B7A59" w14:textId="77777777" w:rsidR="007909F5" w:rsidRPr="0009666E" w:rsidRDefault="00331292">
      <w:pPr>
        <w:pStyle w:val="Kop1"/>
        <w:rPr>
          <w:lang w:val="nl-NL"/>
        </w:rPr>
      </w:pPr>
      <w:r>
        <w:rPr>
          <w:lang w:val="nl-NL"/>
        </w:rPr>
        <w:lastRenderedPageBreak/>
        <w:t>Bronnen</w:t>
      </w:r>
    </w:p>
    <w:p w14:paraId="30E194D4" w14:textId="77777777" w:rsidR="007909F5" w:rsidRPr="0009666E" w:rsidRDefault="00331292">
      <w:pPr>
        <w:rPr>
          <w:lang w:val="nl-NL"/>
        </w:rPr>
      </w:pPr>
      <w:r>
        <w:rPr>
          <w:lang w:val="nl-NL"/>
        </w:rPr>
        <w:t>De belangrijkste bronnen onder dit stuk. Eerst de kennisproducten van het Ben Sajet Centrum:</w:t>
      </w:r>
    </w:p>
    <w:p w14:paraId="59176374" w14:textId="77777777" w:rsidR="007909F5" w:rsidRPr="0009666E" w:rsidRDefault="00331292">
      <w:pPr>
        <w:pStyle w:val="Lijstalinea"/>
        <w:numPr>
          <w:ilvl w:val="0"/>
          <w:numId w:val="1"/>
        </w:numPr>
        <w:rPr>
          <w:lang w:val="nl-NL"/>
        </w:rPr>
      </w:pPr>
      <w:r>
        <w:rPr>
          <w:lang w:val="nl-NL"/>
        </w:rPr>
        <w:t xml:space="preserve">Lang Leven Thuis, bouwen aan zorgzame woongemeenschappen in een vergrijzende stad (Ben Sajet Centrum en </w:t>
      </w:r>
      <w:proofErr w:type="spellStart"/>
      <w:r>
        <w:rPr>
          <w:lang w:val="nl-NL"/>
        </w:rPr>
        <w:t>HvA</w:t>
      </w:r>
      <w:proofErr w:type="spellEnd"/>
      <w:r>
        <w:rPr>
          <w:lang w:val="nl-NL"/>
        </w:rPr>
        <w:t xml:space="preserve">, mei 2026). Het kennisprogramma over vier Amsterdamse flats in Nieuw-West en Oost. Het laat zien dat verbinding en alledaagse </w:t>
      </w:r>
      <w:proofErr w:type="spellStart"/>
      <w:r>
        <w:rPr>
          <w:lang w:val="nl-NL"/>
        </w:rPr>
        <w:t>attentheid</w:t>
      </w:r>
      <w:proofErr w:type="spellEnd"/>
      <w:r>
        <w:rPr>
          <w:lang w:val="nl-NL"/>
        </w:rPr>
        <w:t xml:space="preserve"> bijdragen aan prettig ouder worden, dat gemeenschapsvorming niet vanzelf ontstaat en professionele ondersteuning vraagt, en dat begrenzing van contact bij een werkende gemeenschap hoort. Kwantitatieve zorgkostenclaims doet het bewust niet.</w:t>
      </w:r>
    </w:p>
    <w:p w14:paraId="714F3C31" w14:textId="77777777" w:rsidR="007909F5" w:rsidRPr="0009666E" w:rsidRDefault="00331292">
      <w:pPr>
        <w:pStyle w:val="Lijstalinea"/>
        <w:numPr>
          <w:ilvl w:val="0"/>
          <w:numId w:val="1"/>
        </w:numPr>
        <w:rPr>
          <w:lang w:val="nl-NL"/>
        </w:rPr>
      </w:pPr>
      <w:r>
        <w:rPr>
          <w:lang w:val="nl-NL"/>
        </w:rPr>
        <w:t xml:space="preserve">Pionieren in Niemandsland (Hilhorst en Van den </w:t>
      </w:r>
      <w:proofErr w:type="spellStart"/>
      <w:r>
        <w:rPr>
          <w:lang w:val="nl-NL"/>
        </w:rPr>
        <w:t>Wijngaart</w:t>
      </w:r>
      <w:proofErr w:type="spellEnd"/>
      <w:r>
        <w:rPr>
          <w:lang w:val="nl-NL"/>
        </w:rPr>
        <w:t xml:space="preserve">, in opdracht van VWS, aangeboden aan de Tweede Kamer). Over sturing op </w:t>
      </w:r>
      <w:proofErr w:type="spellStart"/>
      <w:r>
        <w:rPr>
          <w:lang w:val="nl-NL"/>
        </w:rPr>
        <w:t>domeinoverstijgende</w:t>
      </w:r>
      <w:proofErr w:type="spellEnd"/>
      <w:r>
        <w:rPr>
          <w:lang w:val="nl-NL"/>
        </w:rPr>
        <w:t xml:space="preserve"> samenwerking en de implementatie van het AZWA. De sterkste inhoudelijke rugdekking voor het gezamenlijk investeren over domeinen heen.</w:t>
      </w:r>
    </w:p>
    <w:p w14:paraId="07C528F4" w14:textId="77777777" w:rsidR="007909F5" w:rsidRPr="0009666E" w:rsidRDefault="00331292">
      <w:pPr>
        <w:pStyle w:val="Lijstalinea"/>
        <w:numPr>
          <w:ilvl w:val="0"/>
          <w:numId w:val="1"/>
        </w:numPr>
        <w:rPr>
          <w:lang w:val="nl-NL"/>
        </w:rPr>
      </w:pPr>
      <w:r>
        <w:rPr>
          <w:lang w:val="nl-NL"/>
        </w:rPr>
        <w:t>De belofte van de gemeenschap en zeven belemmerende mythes (januari 2025). Nuttig om overspannen verwachtingen van community care te temperen zonder de belofte los te laten.</w:t>
      </w:r>
    </w:p>
    <w:p w14:paraId="31C0C393" w14:textId="77777777" w:rsidR="007909F5" w:rsidRPr="0009666E" w:rsidRDefault="00331292">
      <w:pPr>
        <w:pStyle w:val="Lijstalinea"/>
        <w:numPr>
          <w:ilvl w:val="0"/>
          <w:numId w:val="1"/>
        </w:numPr>
        <w:rPr>
          <w:lang w:val="nl-NL"/>
        </w:rPr>
      </w:pPr>
      <w:r>
        <w:rPr>
          <w:lang w:val="nl-NL"/>
        </w:rPr>
        <w:t>Welke sociale interventies kunnen hulpbehoevendheid bij kwetsbare ouderen uitstellen of verminderen (2019). De wetenschappelijke basis onder de uitstelclaim.</w:t>
      </w:r>
    </w:p>
    <w:p w14:paraId="4B1BBB50" w14:textId="77777777" w:rsidR="007909F5" w:rsidRPr="0009666E" w:rsidRDefault="00331292">
      <w:pPr>
        <w:pStyle w:val="Lijstalinea"/>
        <w:numPr>
          <w:ilvl w:val="0"/>
          <w:numId w:val="1"/>
        </w:numPr>
        <w:rPr>
          <w:lang w:val="nl-NL"/>
        </w:rPr>
      </w:pPr>
      <w:r>
        <w:rPr>
          <w:lang w:val="nl-NL"/>
        </w:rPr>
        <w:t>Aanvullend bruikbaar: Inloop-dagbesteding op vijf Amsterdamse locaties (2025), Sociaal Vitaal over de gezonde wijkaanpak (2025) en het artikel Zo investeer je in zorgzame gemeenschappen in tijden van vergrijzing (mei 2026).</w:t>
      </w:r>
    </w:p>
    <w:p w14:paraId="01EDCEE6" w14:textId="77777777" w:rsidR="00365EE8" w:rsidRPr="00F76D61" w:rsidRDefault="00331292">
      <w:pPr>
        <w:pStyle w:val="Lijstalinea"/>
        <w:numPr>
          <w:ilvl w:val="0"/>
          <w:numId w:val="1"/>
        </w:numPr>
        <w:rPr>
          <w:lang w:val="nl-NL"/>
        </w:rPr>
      </w:pPr>
      <w:r w:rsidRPr="00F76D61">
        <w:rPr>
          <w:lang w:val="nl-NL"/>
        </w:rPr>
        <w:t xml:space="preserve">Lobbybrief Zorgzame gemeenschappen voor ouderen (coalitie van onder meer </w:t>
      </w:r>
      <w:proofErr w:type="spellStart"/>
      <w:r w:rsidRPr="00F76D61">
        <w:rPr>
          <w:lang w:val="nl-NL"/>
        </w:rPr>
        <w:t>ActiZ</w:t>
      </w:r>
      <w:proofErr w:type="spellEnd"/>
      <w:r w:rsidRPr="00F76D61">
        <w:rPr>
          <w:lang w:val="nl-NL"/>
        </w:rPr>
        <w:t xml:space="preserve">, Aedes, VNG, Zorgverzekeraars Nederland en Sociaal Werk Nederland, 24 februari 2026), met de doorstroomanalyses van Zilveren Kruis (2021 tot 2024) en de beoogde </w:t>
      </w:r>
      <w:proofErr w:type="spellStart"/>
      <w:r w:rsidRPr="00F76D61">
        <w:rPr>
          <w:lang w:val="nl-NL"/>
        </w:rPr>
        <w:t>Wlz</w:t>
      </w:r>
      <w:proofErr w:type="spellEnd"/>
      <w:r w:rsidRPr="00F76D61">
        <w:rPr>
          <w:lang w:val="nl-NL"/>
        </w:rPr>
        <w:t>-besparing tot een miljard per jaar.</w:t>
      </w:r>
    </w:p>
    <w:p w14:paraId="1B26F113" w14:textId="77777777" w:rsidR="00365EE8" w:rsidRPr="00F76D61" w:rsidRDefault="00331292">
      <w:pPr>
        <w:pStyle w:val="Lijstalinea"/>
        <w:numPr>
          <w:ilvl w:val="0"/>
          <w:numId w:val="1"/>
        </w:numPr>
        <w:rPr>
          <w:lang w:val="nl-NL"/>
        </w:rPr>
      </w:pPr>
      <w:r w:rsidRPr="00F76D61">
        <w:rPr>
          <w:lang w:val="nl-NL"/>
        </w:rPr>
        <w:t xml:space="preserve">RVO/EHA-paper Ontmoetingsruimten in de wijk en </w:t>
      </w:r>
      <w:proofErr w:type="spellStart"/>
      <w:r w:rsidRPr="00F76D61">
        <w:rPr>
          <w:lang w:val="nl-NL"/>
        </w:rPr>
        <w:t>SiRM</w:t>
      </w:r>
      <w:proofErr w:type="spellEnd"/>
      <w:r w:rsidRPr="00F76D61">
        <w:rPr>
          <w:lang w:val="nl-NL"/>
        </w:rPr>
        <w:t xml:space="preserve"> over de baten van investeringen in woonzorgvoorzieningen.</w:t>
      </w:r>
    </w:p>
    <w:p w14:paraId="3FFB1D21" w14:textId="77777777" w:rsidR="00365EE8" w:rsidRPr="00F76D61" w:rsidRDefault="00331292">
      <w:pPr>
        <w:pStyle w:val="Lijstalinea"/>
        <w:numPr>
          <w:ilvl w:val="0"/>
          <w:numId w:val="1"/>
        </w:numPr>
        <w:rPr>
          <w:lang w:val="nl-NL"/>
        </w:rPr>
      </w:pPr>
      <w:proofErr w:type="spellStart"/>
      <w:r w:rsidRPr="00F76D61">
        <w:rPr>
          <w:lang w:val="nl-NL"/>
        </w:rPr>
        <w:t>NZa</w:t>
      </w:r>
      <w:proofErr w:type="spellEnd"/>
      <w:r w:rsidRPr="00F76D61">
        <w:rPr>
          <w:lang w:val="nl-NL"/>
        </w:rPr>
        <w:t>-dagtarieven 2025 en de DOS-experimenten (Significant Public, in opdracht van VWS).</w:t>
      </w:r>
    </w:p>
    <w:p w14:paraId="1F994073" w14:textId="77777777" w:rsidR="00365EE8" w:rsidRPr="00F76D61" w:rsidRDefault="00331292">
      <w:pPr>
        <w:pStyle w:val="Lijstalinea"/>
        <w:numPr>
          <w:ilvl w:val="0"/>
          <w:numId w:val="1"/>
        </w:numPr>
        <w:rPr>
          <w:lang w:val="nl-NL"/>
        </w:rPr>
      </w:pPr>
      <w:r w:rsidRPr="00F76D61">
        <w:rPr>
          <w:lang w:val="nl-NL"/>
        </w:rPr>
        <w:t xml:space="preserve">Praktijk en aanvullend onderzoek: </w:t>
      </w:r>
      <w:proofErr w:type="spellStart"/>
      <w:r w:rsidRPr="00F76D61">
        <w:rPr>
          <w:lang w:val="nl-NL"/>
        </w:rPr>
        <w:t>Knarrenhof</w:t>
      </w:r>
      <w:proofErr w:type="spellEnd"/>
      <w:r w:rsidRPr="00F76D61">
        <w:rPr>
          <w:lang w:val="nl-NL"/>
        </w:rPr>
        <w:t>, Austerlitz Zorgt, Welzijn op Recept, RIGO en de businesscase Dementievriendelijk Wonen.</w:t>
      </w:r>
    </w:p>
    <w:p w14:paraId="554A3DDD" w14:textId="77777777" w:rsidR="007909F5" w:rsidRPr="0009666E" w:rsidRDefault="00331292">
      <w:pPr>
        <w:pStyle w:val="Kop1"/>
        <w:rPr>
          <w:lang w:val="nl-NL"/>
        </w:rPr>
      </w:pPr>
      <w:r>
        <w:rPr>
          <w:lang w:val="nl-NL"/>
        </w:rPr>
        <w:t>Kanttekeningen</w:t>
      </w:r>
    </w:p>
    <w:p w14:paraId="1C342912" w14:textId="77777777" w:rsidR="007909F5" w:rsidRPr="0009666E" w:rsidRDefault="00331292">
      <w:pPr>
        <w:pStyle w:val="Lijstalinea"/>
        <w:numPr>
          <w:ilvl w:val="0"/>
          <w:numId w:val="1"/>
        </w:numPr>
        <w:rPr>
          <w:lang w:val="nl-NL"/>
        </w:rPr>
      </w:pPr>
      <w:r>
        <w:rPr>
          <w:lang w:val="nl-NL"/>
        </w:rPr>
        <w:t>Alle besparingscijfers zijn indicatief en deels afkomstig van betrokken partijen; je kunt ze niet één op één naar een Amsterdamse flat vertalen.</w:t>
      </w:r>
    </w:p>
    <w:p w14:paraId="18184C97" w14:textId="77777777" w:rsidR="007909F5" w:rsidRPr="0009666E" w:rsidRDefault="00331292">
      <w:pPr>
        <w:pStyle w:val="Lijstalinea"/>
        <w:numPr>
          <w:ilvl w:val="0"/>
          <w:numId w:val="1"/>
        </w:numPr>
        <w:rPr>
          <w:lang w:val="nl-NL"/>
        </w:rPr>
      </w:pPr>
      <w:r>
        <w:rPr>
          <w:lang w:val="nl-NL"/>
        </w:rPr>
        <w:t>De Wet DOS is recent operationeel. Het zorgkantoorbeleid voor nieuwe projecten wordt in 2026 uitgewerkt en wordt onderdeel van het inkoopbeleid 2027; de voorwaarden kunnen nog aanscherpen.</w:t>
      </w:r>
    </w:p>
    <w:p w14:paraId="773F0768" w14:textId="77777777" w:rsidR="007909F5" w:rsidRPr="0009666E" w:rsidRDefault="00331292">
      <w:pPr>
        <w:pStyle w:val="Lijstalinea"/>
        <w:numPr>
          <w:ilvl w:val="0"/>
          <w:numId w:val="1"/>
        </w:numPr>
        <w:rPr>
          <w:lang w:val="nl-NL"/>
        </w:rPr>
      </w:pPr>
      <w:r>
        <w:rPr>
          <w:lang w:val="nl-NL"/>
        </w:rPr>
        <w:t>Nog te bespreken: of en hoe de VVT-bijdrage meebeweegt met het aantal VPT-cliënten, mede gezien de herziening van VPT. Dit punt is nog niet vastgesteld.</w:t>
      </w:r>
    </w:p>
    <w:sectPr w:rsidR="007909F5" w:rsidRPr="0009666E" w:rsidSect="003D701D">
      <w:footerReference w:type="even" r:id="rId11"/>
      <w:footerReference w:type="default" r:id="rId12"/>
      <w:pgSz w:w="11906" w:h="16838" w:code="9"/>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D93591" w14:textId="77777777" w:rsidR="00547EA5" w:rsidRDefault="00547EA5" w:rsidP="00C974D9">
      <w:pPr>
        <w:spacing w:after="0" w:line="240" w:lineRule="auto"/>
      </w:pPr>
      <w:r>
        <w:separator/>
      </w:r>
    </w:p>
  </w:endnote>
  <w:endnote w:type="continuationSeparator" w:id="0">
    <w:p w14:paraId="447B8AC6" w14:textId="77777777" w:rsidR="00547EA5" w:rsidRDefault="00547EA5" w:rsidP="00C97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Cn">
    <w:altName w:val="Roboto Condensed"/>
    <w:panose1 w:val="00000000000000000000"/>
    <w:charset w:val="00"/>
    <w:family w:val="auto"/>
    <w:pitch w:val="variable"/>
    <w:sig w:usb0="E0000AFF" w:usb1="5000217F" w:usb2="00000021" w:usb3="00000000" w:csb0="0000019F" w:csb1="00000000"/>
  </w:font>
  <w:font w:name="Raleway">
    <w:panose1 w:val="00000000000000000000"/>
    <w:charset w:val="4D"/>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1281846102"/>
      <w:docPartObj>
        <w:docPartGallery w:val="Page Numbers (Bottom of Page)"/>
        <w:docPartUnique/>
      </w:docPartObj>
    </w:sdtPr>
    <w:sdtContent>
      <w:p w14:paraId="3CED2841" w14:textId="77777777" w:rsidR="008C1E5E" w:rsidRDefault="008C1E5E" w:rsidP="006E3FFA">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712E2269" w14:textId="77777777" w:rsidR="008C1E5E" w:rsidRDefault="008C1E5E" w:rsidP="008C1E5E">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1787463911"/>
      <w:docPartObj>
        <w:docPartGallery w:val="Page Numbers (Bottom of Page)"/>
        <w:docPartUnique/>
      </w:docPartObj>
    </w:sdtPr>
    <w:sdtContent>
      <w:p w14:paraId="7FAEA991" w14:textId="77777777" w:rsidR="008C1E5E" w:rsidRDefault="008C1E5E" w:rsidP="006E3FFA">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089"/>
    </w:tblGrid>
    <w:tr w:rsidR="008C1E5E" w:rsidRPr="00C974D9" w14:paraId="081DC1A1" w14:textId="77777777" w:rsidTr="008C1E5E">
      <w:tc>
        <w:tcPr>
          <w:tcW w:w="3402" w:type="dxa"/>
          <w:vAlign w:val="center"/>
        </w:tcPr>
        <w:p w14:paraId="6AAC0DD1" w14:textId="77777777" w:rsidR="008C1E5E" w:rsidRPr="00C974D9" w:rsidRDefault="008C1E5E" w:rsidP="008C1E5E">
          <w:pPr>
            <w:pStyle w:val="Voettekst"/>
            <w:rPr>
              <w:sz w:val="20"/>
              <w:szCs w:val="20"/>
            </w:rPr>
          </w:pPr>
          <w:r>
            <w:rPr>
              <w:sz w:val="20"/>
              <w:szCs w:val="20"/>
            </w:rPr>
            <w:t>www.LangLevenThuisflats.nl</w:t>
          </w:r>
        </w:p>
      </w:tc>
      <w:tc>
        <w:tcPr>
          <w:tcW w:w="3089" w:type="dxa"/>
          <w:vAlign w:val="center"/>
        </w:tcPr>
        <w:p w14:paraId="659B0BBA" w14:textId="77777777" w:rsidR="008C1E5E" w:rsidRPr="00C974D9" w:rsidRDefault="008C1E5E" w:rsidP="00C974D9">
          <w:pPr>
            <w:pStyle w:val="Voettekst"/>
            <w:jc w:val="center"/>
            <w:rPr>
              <w:sz w:val="20"/>
              <w:szCs w:val="20"/>
            </w:rPr>
          </w:pPr>
        </w:p>
      </w:tc>
    </w:tr>
  </w:tbl>
  <w:p w14:paraId="7899F5E8" w14:textId="77777777" w:rsidR="00C974D9" w:rsidRDefault="008C1E5E">
    <w:pPr>
      <w:pStyle w:val="Voettekst"/>
    </w:pPr>
    <w:r>
      <w:rPr>
        <w:noProof/>
      </w:rPr>
      <w:drawing>
        <wp:anchor distT="0" distB="0" distL="114300" distR="114300" simplePos="0" relativeHeight="251660288" behindDoc="0" locked="0" layoutInCell="1" allowOverlap="1" wp14:anchorId="7EB195CE" wp14:editId="7DCCEFB3">
          <wp:simplePos x="0" y="0"/>
          <wp:positionH relativeFrom="column">
            <wp:posOffset>2409669</wp:posOffset>
          </wp:positionH>
          <wp:positionV relativeFrom="paragraph">
            <wp:posOffset>-215078</wp:posOffset>
          </wp:positionV>
          <wp:extent cx="1138555" cy="330835"/>
          <wp:effectExtent l="0" t="0" r="4445" b="0"/>
          <wp:wrapNone/>
          <wp:docPr id="599431803"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431803" name="Afbeelding 599431803"/>
                  <pic:cNvPicPr/>
                </pic:nvPicPr>
                <pic:blipFill>
                  <a:blip r:embed="rId1">
                    <a:extLst>
                      <a:ext uri="{28A0092B-C50C-407E-A947-70E740481C1C}">
                        <a14:useLocalDpi xmlns:a14="http://schemas.microsoft.com/office/drawing/2010/main" val="0"/>
                      </a:ext>
                    </a:extLst>
                  </a:blip>
                  <a:stretch>
                    <a:fillRect/>
                  </a:stretch>
                </pic:blipFill>
                <pic:spPr>
                  <a:xfrm>
                    <a:off x="0" y="0"/>
                    <a:ext cx="1138555" cy="330835"/>
                  </a:xfrm>
                  <a:prstGeom prst="rect">
                    <a:avLst/>
                  </a:prstGeom>
                </pic:spPr>
              </pic:pic>
            </a:graphicData>
          </a:graphic>
          <wp14:sizeRelH relativeFrom="page">
            <wp14:pctWidth>0</wp14:pctWidth>
          </wp14:sizeRelH>
          <wp14:sizeRelV relativeFrom="page">
            <wp14:pctHeight>0</wp14:pctHeight>
          </wp14:sizeRelV>
        </wp:anchor>
      </w:drawing>
    </w:r>
    <w:r w:rsidR="00C974D9">
      <w:rPr>
        <w:noProof/>
      </w:rPr>
      <mc:AlternateContent>
        <mc:Choice Requires="wps">
          <w:drawing>
            <wp:anchor distT="0" distB="0" distL="114300" distR="114300" simplePos="0" relativeHeight="251659264" behindDoc="0" locked="0" layoutInCell="1" allowOverlap="1" wp14:anchorId="3A14AD93" wp14:editId="4653AA82">
              <wp:simplePos x="0" y="0"/>
              <wp:positionH relativeFrom="margin">
                <wp:align>center</wp:align>
              </wp:positionH>
              <wp:positionV relativeFrom="paragraph">
                <wp:posOffset>-279400</wp:posOffset>
              </wp:positionV>
              <wp:extent cx="6162675" cy="0"/>
              <wp:effectExtent l="0" t="19050" r="28575" b="19050"/>
              <wp:wrapNone/>
              <wp:docPr id="1090538258" name="Straight Connector 4"/>
              <wp:cNvGraphicFramePr/>
              <a:graphic xmlns:a="http://schemas.openxmlformats.org/drawingml/2006/main">
                <a:graphicData uri="http://schemas.microsoft.com/office/word/2010/wordprocessingShape">
                  <wps:wsp>
                    <wps:cNvCnPr/>
                    <wps:spPr>
                      <a:xfrm>
                        <a:off x="0" y="0"/>
                        <a:ext cx="616267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058044" id="Straight Connector 4"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22pt" to="485.25pt,-22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VW3jIpAEAAKUDAAAOAAAAZHJzL2Uyb0RvYy54bWysU8tu2zAQvBfoPxC8x5IMxA0EyzkkSC5B G/TxAQy1tAjwhSVjyX/fJW3LRRMgSJALRXJ3ZneGq/X1ZA3bAUbtXcebRc0ZOOl77bYd//P77uKK s5iE64XxDjq+h8ivN1+/rMfQwtIP3vSAjEhcbMfQ8SGl0FZVlANYERc+gKOg8mhFoiNuqx7FSOzW VMu6XlWjxz6glxAj3d4egnxT+JUCmX4oFSEx03HqLZUVy/qU12qzFu0WRRi0PLYhPtCFFdpR0Znq ViTBnlG/oLJaoo9epYX0tvJKaQlFA6lp6v/U/BpEgKKFzIlhtil+Hq38vrtxj0g2jCG2MTxiVjEp tPlL/bGpmLWfzYIpMUmXq2a1XH275EyeYtUZGDCme/CW5U3HjXZZh2jF7iEmKkapp5R8bRwbO768 uiS+HD33UnZpb+CQ9hMU0z1VbwpdGRO4Mch2gh5YSAkuNYUik1J2hiltzAys3wYe8zMUygi9Bzwj SmXv0gy22nl8rXqaTi2rQ/7JgYPubMGT7/fllYo1NAvFwuPc5mH791zg579r8xcAAP//AwBQSwME FAAGAAgAAAAhAFet+iXgAAAADQEAAA8AAABkcnMvZG93bnJldi54bWxMj0FPwzAMhe9I/IfISNy2 FFTY6JpOA8SFnTbQxNFtTRvROKXJtsKvx5OQ4GLZfvLz+/Ll6Dp1oCFYzwaupgko4srXlhsDry9P kzmoEJFr7DyTgS8KsCzOz3LMan/kDR22sVFiwiFDA22MfaZ1qFpyGKa+Jxbt3Q8Oo4xDo+sBj2Lu On2dJLfaoWX50GJPDy1VH9u9M3Bfpt+je9vRpgmr1D7bGX6u18ZcXoyPCymrBahIY/y7gBOD5IdC gpV+z3VQnQGhiQYmaSqNyHez5AZU+bvRRa7/UxQ/AAAA//8DAFBLAQItABQABgAIAAAAIQC2gziS /gAAAOEBAAATAAAAAAAAAAAAAAAAAAAAAABbQ29udGVudF9UeXBlc10ueG1sUEsBAi0AFAAGAAgA AAAhADj9If/WAAAAlAEAAAsAAAAAAAAAAAAAAAAALwEAAF9yZWxzLy5yZWxzUEsBAi0AFAAGAAgA AAAhANVbeMikAQAApQMAAA4AAAAAAAAAAAAAAAAALgIAAGRycy9lMm9Eb2MueG1sUEsBAi0AFAAG AAgAAAAhAFet+iXgAAAADQEAAA8AAAAAAAAAAAAAAAAA/gMAAGRycy9kb3ducmV2LnhtbFBLBQYA AAAABAAEAPMAAAALBQAAAAA= " strokecolor="#c33 [3204]" strokeweight="2.25pt">
              <v:stroke joinstyle="miter"/>
              <w10:wrap anchorx="margin"/>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AF8700" w14:textId="77777777" w:rsidR="00547EA5" w:rsidRDefault="00547EA5" w:rsidP="00C974D9">
      <w:pPr>
        <w:spacing w:after="0" w:line="240" w:lineRule="auto"/>
      </w:pPr>
      <w:r>
        <w:separator/>
      </w:r>
    </w:p>
  </w:footnote>
  <w:footnote w:type="continuationSeparator" w:id="0">
    <w:p w14:paraId="13DA0324" w14:textId="77777777" w:rsidR="00547EA5" w:rsidRDefault="00547EA5" w:rsidP="00C974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2B3C4D"/>
    <w:multiLevelType w:val="hybridMultilevel"/>
    <w:tmpl w:val="F1FC15F0"/>
    <w:lvl w:ilvl="0" w:tplc="FDBE2366">
      <w:start w:val="1"/>
      <w:numFmt w:val="bullet"/>
      <w:lvlText w:val="•"/>
      <w:lvlJc w:val="left"/>
      <w:pPr>
        <w:ind w:left="720" w:hanging="360"/>
      </w:pPr>
      <w:rPr>
        <w:rFonts w:ascii="Symbol" w:hAnsi="Symbol" w:hint="default"/>
      </w:rPr>
    </w:lvl>
    <w:lvl w:ilvl="1" w:tplc="857ED316">
      <w:numFmt w:val="decimal"/>
      <w:lvlText w:val=""/>
      <w:lvlJc w:val="left"/>
    </w:lvl>
    <w:lvl w:ilvl="2" w:tplc="AEA8FEEC">
      <w:numFmt w:val="decimal"/>
      <w:lvlText w:val=""/>
      <w:lvlJc w:val="left"/>
    </w:lvl>
    <w:lvl w:ilvl="3" w:tplc="499E8D58">
      <w:numFmt w:val="decimal"/>
      <w:lvlText w:val=""/>
      <w:lvlJc w:val="left"/>
    </w:lvl>
    <w:lvl w:ilvl="4" w:tplc="D8166FF2">
      <w:numFmt w:val="decimal"/>
      <w:lvlText w:val=""/>
      <w:lvlJc w:val="left"/>
    </w:lvl>
    <w:lvl w:ilvl="5" w:tplc="2EAA8E4C">
      <w:numFmt w:val="decimal"/>
      <w:lvlText w:val=""/>
      <w:lvlJc w:val="left"/>
    </w:lvl>
    <w:lvl w:ilvl="6" w:tplc="684ED1F2">
      <w:numFmt w:val="decimal"/>
      <w:lvlText w:val=""/>
      <w:lvlJc w:val="left"/>
    </w:lvl>
    <w:lvl w:ilvl="7" w:tplc="E9BA3926">
      <w:numFmt w:val="decimal"/>
      <w:lvlText w:val=""/>
      <w:lvlJc w:val="left"/>
    </w:lvl>
    <w:lvl w:ilvl="8" w:tplc="E12E3C9A">
      <w:numFmt w:val="decimal"/>
      <w:lvlText w:val=""/>
      <w:lvlJc w:val="left"/>
    </w:lvl>
  </w:abstractNum>
  <w:num w:numId="1" w16cid:durableId="54062889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01D"/>
    <w:rsid w:val="00085608"/>
    <w:rsid w:val="000951AD"/>
    <w:rsid w:val="0009666E"/>
    <w:rsid w:val="001207AF"/>
    <w:rsid w:val="00123F69"/>
    <w:rsid w:val="001269DC"/>
    <w:rsid w:val="001A4F8D"/>
    <w:rsid w:val="002B2195"/>
    <w:rsid w:val="002C00FB"/>
    <w:rsid w:val="00331292"/>
    <w:rsid w:val="00365EE8"/>
    <w:rsid w:val="00380B90"/>
    <w:rsid w:val="003C434E"/>
    <w:rsid w:val="003C44BF"/>
    <w:rsid w:val="003D701D"/>
    <w:rsid w:val="003E64FC"/>
    <w:rsid w:val="004F4D14"/>
    <w:rsid w:val="00547EA5"/>
    <w:rsid w:val="005C5B8E"/>
    <w:rsid w:val="006967A8"/>
    <w:rsid w:val="006B5D39"/>
    <w:rsid w:val="00733B24"/>
    <w:rsid w:val="007909F5"/>
    <w:rsid w:val="007D7EDD"/>
    <w:rsid w:val="007E7947"/>
    <w:rsid w:val="007F7557"/>
    <w:rsid w:val="008055D8"/>
    <w:rsid w:val="00812874"/>
    <w:rsid w:val="008731CB"/>
    <w:rsid w:val="008C1E5E"/>
    <w:rsid w:val="009F1D33"/>
    <w:rsid w:val="00A15A1B"/>
    <w:rsid w:val="00A71961"/>
    <w:rsid w:val="00AA5B93"/>
    <w:rsid w:val="00AC73F9"/>
    <w:rsid w:val="00B02956"/>
    <w:rsid w:val="00B252A2"/>
    <w:rsid w:val="00B65E8D"/>
    <w:rsid w:val="00BC061B"/>
    <w:rsid w:val="00C82030"/>
    <w:rsid w:val="00C974D9"/>
    <w:rsid w:val="00CE00AC"/>
    <w:rsid w:val="00DC5320"/>
    <w:rsid w:val="00EA4369"/>
    <w:rsid w:val="00F76D61"/>
    <w:rsid w:val="00F9009F"/>
    <w:rsid w:val="00F96E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90B084"/>
  <w15:chartTrackingRefBased/>
  <w15:docId w15:val="{2C78E129-E9FD-4D55-81A2-07B8B6BE6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D701D"/>
    <w:pPr>
      <w:keepNext/>
      <w:keepLines/>
      <w:spacing w:before="360" w:after="80"/>
      <w:outlineLvl w:val="0"/>
    </w:pPr>
    <w:rPr>
      <w:rFonts w:asciiTheme="majorHAnsi" w:eastAsiaTheme="majorEastAsia" w:hAnsiTheme="majorHAnsi" w:cstheme="majorBidi"/>
      <w:color w:val="982626" w:themeColor="accent1" w:themeShade="BF"/>
      <w:sz w:val="40"/>
      <w:szCs w:val="40"/>
    </w:rPr>
  </w:style>
  <w:style w:type="paragraph" w:styleId="Kop2">
    <w:name w:val="heading 2"/>
    <w:basedOn w:val="Standaard"/>
    <w:next w:val="Standaard"/>
    <w:link w:val="Kop2Char"/>
    <w:uiPriority w:val="9"/>
    <w:unhideWhenUsed/>
    <w:qFormat/>
    <w:rsid w:val="003D701D"/>
    <w:pPr>
      <w:keepNext/>
      <w:keepLines/>
      <w:spacing w:before="160" w:after="80"/>
      <w:outlineLvl w:val="1"/>
    </w:pPr>
    <w:rPr>
      <w:rFonts w:asciiTheme="majorHAnsi" w:eastAsiaTheme="majorEastAsia" w:hAnsiTheme="majorHAnsi" w:cstheme="majorBidi"/>
      <w:color w:val="982626" w:themeColor="accent1" w:themeShade="BF"/>
      <w:sz w:val="32"/>
      <w:szCs w:val="32"/>
    </w:rPr>
  </w:style>
  <w:style w:type="paragraph" w:styleId="Kop3">
    <w:name w:val="heading 3"/>
    <w:basedOn w:val="Standaard"/>
    <w:next w:val="Standaard"/>
    <w:link w:val="Kop3Char"/>
    <w:uiPriority w:val="9"/>
    <w:semiHidden/>
    <w:unhideWhenUsed/>
    <w:qFormat/>
    <w:rsid w:val="003D701D"/>
    <w:pPr>
      <w:keepNext/>
      <w:keepLines/>
      <w:spacing w:before="160" w:after="80"/>
      <w:outlineLvl w:val="2"/>
    </w:pPr>
    <w:rPr>
      <w:rFonts w:eastAsiaTheme="majorEastAsia" w:cstheme="majorBidi"/>
      <w:color w:val="982626" w:themeColor="accent1" w:themeShade="BF"/>
      <w:sz w:val="28"/>
      <w:szCs w:val="28"/>
    </w:rPr>
  </w:style>
  <w:style w:type="paragraph" w:styleId="Kop4">
    <w:name w:val="heading 4"/>
    <w:basedOn w:val="Standaard"/>
    <w:next w:val="Standaard"/>
    <w:link w:val="Kop4Char"/>
    <w:uiPriority w:val="9"/>
    <w:semiHidden/>
    <w:unhideWhenUsed/>
    <w:qFormat/>
    <w:rsid w:val="003D701D"/>
    <w:pPr>
      <w:keepNext/>
      <w:keepLines/>
      <w:spacing w:before="80" w:after="40"/>
      <w:outlineLvl w:val="3"/>
    </w:pPr>
    <w:rPr>
      <w:rFonts w:eastAsiaTheme="majorEastAsia" w:cstheme="majorBidi"/>
      <w:i/>
      <w:iCs/>
      <w:color w:val="982626" w:themeColor="accent1" w:themeShade="BF"/>
    </w:rPr>
  </w:style>
  <w:style w:type="paragraph" w:styleId="Kop5">
    <w:name w:val="heading 5"/>
    <w:basedOn w:val="Standaard"/>
    <w:next w:val="Standaard"/>
    <w:link w:val="Kop5Char"/>
    <w:uiPriority w:val="9"/>
    <w:semiHidden/>
    <w:unhideWhenUsed/>
    <w:qFormat/>
    <w:rsid w:val="003D701D"/>
    <w:pPr>
      <w:keepNext/>
      <w:keepLines/>
      <w:spacing w:before="80" w:after="40"/>
      <w:outlineLvl w:val="4"/>
    </w:pPr>
    <w:rPr>
      <w:rFonts w:eastAsiaTheme="majorEastAsia" w:cstheme="majorBidi"/>
      <w:color w:val="982626" w:themeColor="accent1" w:themeShade="BF"/>
    </w:rPr>
  </w:style>
  <w:style w:type="paragraph" w:styleId="Kop6">
    <w:name w:val="heading 6"/>
    <w:basedOn w:val="Standaard"/>
    <w:next w:val="Standaard"/>
    <w:link w:val="Kop6Char"/>
    <w:uiPriority w:val="9"/>
    <w:semiHidden/>
    <w:unhideWhenUsed/>
    <w:qFormat/>
    <w:rsid w:val="003D701D"/>
    <w:pPr>
      <w:keepNext/>
      <w:keepLines/>
      <w:spacing w:before="40" w:after="0"/>
      <w:outlineLvl w:val="5"/>
    </w:pPr>
    <w:rPr>
      <w:rFonts w:eastAsiaTheme="majorEastAsia" w:cstheme="majorBidi"/>
      <w:i/>
      <w:iCs/>
      <w:color w:val="4F6B9E" w:themeColor="text1" w:themeTint="A6"/>
    </w:rPr>
  </w:style>
  <w:style w:type="paragraph" w:styleId="Kop7">
    <w:name w:val="heading 7"/>
    <w:basedOn w:val="Standaard"/>
    <w:next w:val="Standaard"/>
    <w:link w:val="Kop7Char"/>
    <w:uiPriority w:val="9"/>
    <w:semiHidden/>
    <w:unhideWhenUsed/>
    <w:qFormat/>
    <w:rsid w:val="003D701D"/>
    <w:pPr>
      <w:keepNext/>
      <w:keepLines/>
      <w:spacing w:before="40" w:after="0"/>
      <w:outlineLvl w:val="6"/>
    </w:pPr>
    <w:rPr>
      <w:rFonts w:eastAsiaTheme="majorEastAsia" w:cstheme="majorBidi"/>
      <w:color w:val="4F6B9E" w:themeColor="text1" w:themeTint="A6"/>
    </w:rPr>
  </w:style>
  <w:style w:type="paragraph" w:styleId="Kop8">
    <w:name w:val="heading 8"/>
    <w:basedOn w:val="Standaard"/>
    <w:next w:val="Standaard"/>
    <w:link w:val="Kop8Char"/>
    <w:uiPriority w:val="9"/>
    <w:semiHidden/>
    <w:unhideWhenUsed/>
    <w:qFormat/>
    <w:rsid w:val="003D701D"/>
    <w:pPr>
      <w:keepNext/>
      <w:keepLines/>
      <w:spacing w:after="0"/>
      <w:outlineLvl w:val="7"/>
    </w:pPr>
    <w:rPr>
      <w:rFonts w:eastAsiaTheme="majorEastAsia" w:cstheme="majorBidi"/>
      <w:i/>
      <w:iCs/>
      <w:color w:val="344668" w:themeColor="text1" w:themeTint="D8"/>
    </w:rPr>
  </w:style>
  <w:style w:type="paragraph" w:styleId="Kop9">
    <w:name w:val="heading 9"/>
    <w:basedOn w:val="Standaard"/>
    <w:next w:val="Standaard"/>
    <w:link w:val="Kop9Char"/>
    <w:uiPriority w:val="9"/>
    <w:semiHidden/>
    <w:unhideWhenUsed/>
    <w:qFormat/>
    <w:rsid w:val="003D701D"/>
    <w:pPr>
      <w:keepNext/>
      <w:keepLines/>
      <w:spacing w:after="0"/>
      <w:outlineLvl w:val="8"/>
    </w:pPr>
    <w:rPr>
      <w:rFonts w:eastAsiaTheme="majorEastAsia" w:cstheme="majorBidi"/>
      <w:color w:val="344668"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D701D"/>
    <w:rPr>
      <w:rFonts w:asciiTheme="majorHAnsi" w:eastAsiaTheme="majorEastAsia" w:hAnsiTheme="majorHAnsi" w:cstheme="majorBidi"/>
      <w:color w:val="982626" w:themeColor="accent1" w:themeShade="BF"/>
      <w:sz w:val="40"/>
      <w:szCs w:val="40"/>
    </w:rPr>
  </w:style>
  <w:style w:type="character" w:customStyle="1" w:styleId="Kop2Char">
    <w:name w:val="Kop 2 Char"/>
    <w:basedOn w:val="Standaardalinea-lettertype"/>
    <w:link w:val="Kop2"/>
    <w:uiPriority w:val="9"/>
    <w:rsid w:val="003D701D"/>
    <w:rPr>
      <w:rFonts w:asciiTheme="majorHAnsi" w:eastAsiaTheme="majorEastAsia" w:hAnsiTheme="majorHAnsi" w:cstheme="majorBidi"/>
      <w:color w:val="982626" w:themeColor="accent1" w:themeShade="BF"/>
      <w:sz w:val="32"/>
      <w:szCs w:val="32"/>
    </w:rPr>
  </w:style>
  <w:style w:type="character" w:customStyle="1" w:styleId="Kop3Char">
    <w:name w:val="Kop 3 Char"/>
    <w:basedOn w:val="Standaardalinea-lettertype"/>
    <w:link w:val="Kop3"/>
    <w:uiPriority w:val="9"/>
    <w:semiHidden/>
    <w:rsid w:val="003D701D"/>
    <w:rPr>
      <w:rFonts w:eastAsiaTheme="majorEastAsia" w:cstheme="majorBidi"/>
      <w:color w:val="982626" w:themeColor="accent1" w:themeShade="BF"/>
      <w:sz w:val="28"/>
      <w:szCs w:val="28"/>
    </w:rPr>
  </w:style>
  <w:style w:type="character" w:customStyle="1" w:styleId="Kop4Char">
    <w:name w:val="Kop 4 Char"/>
    <w:basedOn w:val="Standaardalinea-lettertype"/>
    <w:link w:val="Kop4"/>
    <w:uiPriority w:val="9"/>
    <w:semiHidden/>
    <w:rsid w:val="003D701D"/>
    <w:rPr>
      <w:rFonts w:eastAsiaTheme="majorEastAsia" w:cstheme="majorBidi"/>
      <w:i/>
      <w:iCs/>
      <w:color w:val="982626" w:themeColor="accent1" w:themeShade="BF"/>
    </w:rPr>
  </w:style>
  <w:style w:type="character" w:customStyle="1" w:styleId="Kop5Char">
    <w:name w:val="Kop 5 Char"/>
    <w:basedOn w:val="Standaardalinea-lettertype"/>
    <w:link w:val="Kop5"/>
    <w:uiPriority w:val="9"/>
    <w:semiHidden/>
    <w:rsid w:val="003D701D"/>
    <w:rPr>
      <w:rFonts w:eastAsiaTheme="majorEastAsia" w:cstheme="majorBidi"/>
      <w:color w:val="982626" w:themeColor="accent1" w:themeShade="BF"/>
    </w:rPr>
  </w:style>
  <w:style w:type="character" w:customStyle="1" w:styleId="Kop6Char">
    <w:name w:val="Kop 6 Char"/>
    <w:basedOn w:val="Standaardalinea-lettertype"/>
    <w:link w:val="Kop6"/>
    <w:uiPriority w:val="9"/>
    <w:semiHidden/>
    <w:rsid w:val="003D701D"/>
    <w:rPr>
      <w:rFonts w:eastAsiaTheme="majorEastAsia" w:cstheme="majorBidi"/>
      <w:i/>
      <w:iCs/>
      <w:color w:val="4F6B9E" w:themeColor="text1" w:themeTint="A6"/>
    </w:rPr>
  </w:style>
  <w:style w:type="character" w:customStyle="1" w:styleId="Kop7Char">
    <w:name w:val="Kop 7 Char"/>
    <w:basedOn w:val="Standaardalinea-lettertype"/>
    <w:link w:val="Kop7"/>
    <w:uiPriority w:val="9"/>
    <w:semiHidden/>
    <w:rsid w:val="003D701D"/>
    <w:rPr>
      <w:rFonts w:eastAsiaTheme="majorEastAsia" w:cstheme="majorBidi"/>
      <w:color w:val="4F6B9E" w:themeColor="text1" w:themeTint="A6"/>
    </w:rPr>
  </w:style>
  <w:style w:type="character" w:customStyle="1" w:styleId="Kop8Char">
    <w:name w:val="Kop 8 Char"/>
    <w:basedOn w:val="Standaardalinea-lettertype"/>
    <w:link w:val="Kop8"/>
    <w:uiPriority w:val="9"/>
    <w:semiHidden/>
    <w:rsid w:val="003D701D"/>
    <w:rPr>
      <w:rFonts w:eastAsiaTheme="majorEastAsia" w:cstheme="majorBidi"/>
      <w:i/>
      <w:iCs/>
      <w:color w:val="344668" w:themeColor="text1" w:themeTint="D8"/>
    </w:rPr>
  </w:style>
  <w:style w:type="character" w:customStyle="1" w:styleId="Kop9Char">
    <w:name w:val="Kop 9 Char"/>
    <w:basedOn w:val="Standaardalinea-lettertype"/>
    <w:link w:val="Kop9"/>
    <w:uiPriority w:val="9"/>
    <w:semiHidden/>
    <w:rsid w:val="003D701D"/>
    <w:rPr>
      <w:rFonts w:eastAsiaTheme="majorEastAsia" w:cstheme="majorBidi"/>
      <w:color w:val="344668" w:themeColor="text1" w:themeTint="D8"/>
    </w:rPr>
  </w:style>
  <w:style w:type="paragraph" w:styleId="Titel">
    <w:name w:val="Title"/>
    <w:basedOn w:val="Standaard"/>
    <w:next w:val="Standaard"/>
    <w:link w:val="TitelChar"/>
    <w:uiPriority w:val="10"/>
    <w:qFormat/>
    <w:rsid w:val="007D7EDD"/>
    <w:pPr>
      <w:spacing w:after="80" w:line="240" w:lineRule="auto"/>
      <w:contextualSpacing/>
    </w:pPr>
    <w:rPr>
      <w:rFonts w:asciiTheme="majorHAnsi" w:eastAsiaTheme="majorEastAsia" w:hAnsiTheme="majorHAnsi" w:cstheme="majorBidi"/>
      <w:b/>
      <w:color w:val="2073B0"/>
      <w:spacing w:val="-10"/>
      <w:kern w:val="28"/>
      <w:sz w:val="56"/>
      <w:szCs w:val="56"/>
    </w:rPr>
  </w:style>
  <w:style w:type="character" w:customStyle="1" w:styleId="TitelChar">
    <w:name w:val="Titel Char"/>
    <w:basedOn w:val="Standaardalinea-lettertype"/>
    <w:link w:val="Titel"/>
    <w:uiPriority w:val="10"/>
    <w:rsid w:val="007D7EDD"/>
    <w:rPr>
      <w:rFonts w:asciiTheme="majorHAnsi" w:eastAsiaTheme="majorEastAsia" w:hAnsiTheme="majorHAnsi" w:cstheme="majorBidi"/>
      <w:b/>
      <w:color w:val="2073B0"/>
      <w:spacing w:val="-10"/>
      <w:kern w:val="28"/>
      <w:sz w:val="56"/>
      <w:szCs w:val="56"/>
    </w:rPr>
  </w:style>
  <w:style w:type="paragraph" w:styleId="Ondertitel">
    <w:name w:val="Subtitle"/>
    <w:basedOn w:val="Standaard"/>
    <w:next w:val="Standaard"/>
    <w:link w:val="OndertitelChar"/>
    <w:uiPriority w:val="11"/>
    <w:qFormat/>
    <w:rsid w:val="003D701D"/>
    <w:pPr>
      <w:numPr>
        <w:ilvl w:val="1"/>
      </w:numPr>
    </w:pPr>
    <w:rPr>
      <w:rFonts w:eastAsiaTheme="majorEastAsia" w:cstheme="majorBidi"/>
      <w:color w:val="4F6B9E" w:themeColor="text1" w:themeTint="A6"/>
      <w:spacing w:val="15"/>
      <w:sz w:val="28"/>
      <w:szCs w:val="28"/>
    </w:rPr>
  </w:style>
  <w:style w:type="character" w:customStyle="1" w:styleId="OndertitelChar">
    <w:name w:val="Ondertitel Char"/>
    <w:basedOn w:val="Standaardalinea-lettertype"/>
    <w:link w:val="Ondertitel"/>
    <w:uiPriority w:val="11"/>
    <w:rsid w:val="003D701D"/>
    <w:rPr>
      <w:rFonts w:eastAsiaTheme="majorEastAsia" w:cstheme="majorBidi"/>
      <w:color w:val="4F6B9E" w:themeColor="text1" w:themeTint="A6"/>
      <w:spacing w:val="15"/>
      <w:sz w:val="28"/>
      <w:szCs w:val="28"/>
    </w:rPr>
  </w:style>
  <w:style w:type="paragraph" w:styleId="Citaat">
    <w:name w:val="Quote"/>
    <w:basedOn w:val="Standaard"/>
    <w:next w:val="Standaard"/>
    <w:link w:val="CitaatChar"/>
    <w:uiPriority w:val="29"/>
    <w:qFormat/>
    <w:rsid w:val="003D701D"/>
    <w:pPr>
      <w:spacing w:before="160"/>
      <w:jc w:val="center"/>
    </w:pPr>
    <w:rPr>
      <w:i/>
      <w:iCs/>
      <w:color w:val="415983" w:themeColor="text1" w:themeTint="BF"/>
    </w:rPr>
  </w:style>
  <w:style w:type="character" w:customStyle="1" w:styleId="CitaatChar">
    <w:name w:val="Citaat Char"/>
    <w:basedOn w:val="Standaardalinea-lettertype"/>
    <w:link w:val="Citaat"/>
    <w:uiPriority w:val="29"/>
    <w:rsid w:val="003D701D"/>
    <w:rPr>
      <w:i/>
      <w:iCs/>
      <w:color w:val="415983" w:themeColor="text1" w:themeTint="BF"/>
    </w:rPr>
  </w:style>
  <w:style w:type="paragraph" w:styleId="Lijstalinea">
    <w:name w:val="List Paragraph"/>
    <w:basedOn w:val="Standaard"/>
    <w:uiPriority w:val="34"/>
    <w:qFormat/>
    <w:rsid w:val="003D701D"/>
    <w:pPr>
      <w:ind w:left="720"/>
      <w:contextualSpacing/>
    </w:pPr>
  </w:style>
  <w:style w:type="character" w:styleId="Intensievebenadrukking">
    <w:name w:val="Intense Emphasis"/>
    <w:basedOn w:val="Standaardalinea-lettertype"/>
    <w:uiPriority w:val="21"/>
    <w:qFormat/>
    <w:rsid w:val="003D701D"/>
    <w:rPr>
      <w:i/>
      <w:iCs/>
      <w:color w:val="982626" w:themeColor="accent1" w:themeShade="BF"/>
    </w:rPr>
  </w:style>
  <w:style w:type="paragraph" w:styleId="Duidelijkcitaat">
    <w:name w:val="Intense Quote"/>
    <w:basedOn w:val="Standaard"/>
    <w:next w:val="Standaard"/>
    <w:link w:val="DuidelijkcitaatChar"/>
    <w:uiPriority w:val="30"/>
    <w:qFormat/>
    <w:rsid w:val="003D701D"/>
    <w:pPr>
      <w:pBdr>
        <w:top w:val="single" w:sz="4" w:space="10" w:color="982626" w:themeColor="accent1" w:themeShade="BF"/>
        <w:bottom w:val="single" w:sz="4" w:space="10" w:color="982626" w:themeColor="accent1" w:themeShade="BF"/>
      </w:pBdr>
      <w:spacing w:before="360" w:after="360"/>
      <w:ind w:left="864" w:right="864"/>
      <w:jc w:val="center"/>
    </w:pPr>
    <w:rPr>
      <w:i/>
      <w:iCs/>
      <w:color w:val="982626" w:themeColor="accent1" w:themeShade="BF"/>
    </w:rPr>
  </w:style>
  <w:style w:type="character" w:customStyle="1" w:styleId="DuidelijkcitaatChar">
    <w:name w:val="Duidelijk citaat Char"/>
    <w:basedOn w:val="Standaardalinea-lettertype"/>
    <w:link w:val="Duidelijkcitaat"/>
    <w:uiPriority w:val="30"/>
    <w:rsid w:val="003D701D"/>
    <w:rPr>
      <w:i/>
      <w:iCs/>
      <w:color w:val="982626" w:themeColor="accent1" w:themeShade="BF"/>
    </w:rPr>
  </w:style>
  <w:style w:type="character" w:styleId="Intensieveverwijzing">
    <w:name w:val="Intense Reference"/>
    <w:basedOn w:val="Standaardalinea-lettertype"/>
    <w:uiPriority w:val="32"/>
    <w:qFormat/>
    <w:rsid w:val="003D701D"/>
    <w:rPr>
      <w:b/>
      <w:bCs/>
      <w:smallCaps/>
      <w:color w:val="982626" w:themeColor="accent1" w:themeShade="BF"/>
      <w:spacing w:val="5"/>
    </w:rPr>
  </w:style>
  <w:style w:type="character" w:styleId="Tekstvantijdelijkeaanduiding">
    <w:name w:val="Placeholder Text"/>
    <w:basedOn w:val="Standaardalinea-lettertype"/>
    <w:uiPriority w:val="99"/>
    <w:semiHidden/>
    <w:rsid w:val="00F9009F"/>
    <w:rPr>
      <w:color w:val="666666"/>
    </w:rPr>
  </w:style>
  <w:style w:type="paragraph" w:styleId="Koptekst">
    <w:name w:val="header"/>
    <w:basedOn w:val="Standaard"/>
    <w:link w:val="KoptekstChar"/>
    <w:uiPriority w:val="99"/>
    <w:unhideWhenUsed/>
    <w:rsid w:val="00C974D9"/>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C974D9"/>
  </w:style>
  <w:style w:type="paragraph" w:styleId="Voettekst">
    <w:name w:val="footer"/>
    <w:basedOn w:val="Standaard"/>
    <w:link w:val="VoettekstChar"/>
    <w:uiPriority w:val="99"/>
    <w:unhideWhenUsed/>
    <w:rsid w:val="00C974D9"/>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C974D9"/>
  </w:style>
  <w:style w:type="table" w:styleId="Tabelraster">
    <w:name w:val="Table Grid"/>
    <w:basedOn w:val="Standaardtabel"/>
    <w:uiPriority w:val="39"/>
    <w:rsid w:val="00C974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8C1E5E"/>
  </w:style>
  <w:style w:type="paragraph" w:styleId="Geenafstand">
    <w:name w:val="No Spacing"/>
    <w:uiPriority w:val="1"/>
    <w:qFormat/>
    <w:rsid w:val="008C1E5E"/>
    <w:pPr>
      <w:spacing w:after="0" w:line="240" w:lineRule="auto"/>
    </w:pPr>
    <w:rPr>
      <w:rFonts w:eastAsiaTheme="minorEastAsia"/>
      <w:kern w:val="0"/>
      <w:sz w:val="22"/>
      <w:szCs w:val="22"/>
      <w:lang w:eastAsia="zh-CN"/>
      <w14:ligatures w14:val="none"/>
    </w:rPr>
  </w:style>
  <w:style w:type="character" w:styleId="Subtielebenadrukking">
    <w:name w:val="Subtle Emphasis"/>
    <w:basedOn w:val="Standaardalinea-lettertype"/>
    <w:uiPriority w:val="19"/>
    <w:qFormat/>
    <w:rsid w:val="000951AD"/>
    <w:rPr>
      <w:i/>
      <w:iCs/>
      <w:color w:val="415983" w:themeColor="text1" w:themeTint="BF"/>
    </w:rPr>
  </w:style>
  <w:style w:type="paragraph" w:styleId="Revisie">
    <w:name w:val="Revision"/>
    <w:hidden/>
    <w:uiPriority w:val="99"/>
    <w:semiHidden/>
    <w:rsid w:val="00F76D61"/>
    <w:pPr>
      <w:spacing w:after="0" w:line="240" w:lineRule="auto"/>
    </w:pPr>
  </w:style>
  <w:style w:type="character" w:styleId="Verwijzingopmerking">
    <w:name w:val="annotation reference"/>
    <w:basedOn w:val="Standaardalinea-lettertype"/>
    <w:uiPriority w:val="99"/>
    <w:semiHidden/>
    <w:unhideWhenUsed/>
    <w:rsid w:val="00331292"/>
    <w:rPr>
      <w:sz w:val="16"/>
      <w:szCs w:val="16"/>
    </w:rPr>
  </w:style>
  <w:style w:type="paragraph" w:styleId="Tekstopmerking">
    <w:name w:val="annotation text"/>
    <w:basedOn w:val="Standaard"/>
    <w:link w:val="TekstopmerkingChar"/>
    <w:uiPriority w:val="99"/>
    <w:unhideWhenUsed/>
    <w:rsid w:val="00331292"/>
    <w:pPr>
      <w:spacing w:line="240" w:lineRule="auto"/>
    </w:pPr>
    <w:rPr>
      <w:sz w:val="20"/>
      <w:szCs w:val="20"/>
    </w:rPr>
  </w:style>
  <w:style w:type="character" w:customStyle="1" w:styleId="TekstopmerkingChar">
    <w:name w:val="Tekst opmerking Char"/>
    <w:basedOn w:val="Standaardalinea-lettertype"/>
    <w:link w:val="Tekstopmerking"/>
    <w:uiPriority w:val="99"/>
    <w:rsid w:val="00331292"/>
    <w:rPr>
      <w:sz w:val="20"/>
      <w:szCs w:val="20"/>
    </w:rPr>
  </w:style>
  <w:style w:type="paragraph" w:styleId="Onderwerpvanopmerking">
    <w:name w:val="annotation subject"/>
    <w:basedOn w:val="Tekstopmerking"/>
    <w:next w:val="Tekstopmerking"/>
    <w:link w:val="OnderwerpvanopmerkingChar"/>
    <w:uiPriority w:val="99"/>
    <w:semiHidden/>
    <w:unhideWhenUsed/>
    <w:rsid w:val="00331292"/>
    <w:rPr>
      <w:b/>
      <w:bCs/>
    </w:rPr>
  </w:style>
  <w:style w:type="character" w:customStyle="1" w:styleId="OnderwerpvanopmerkingChar">
    <w:name w:val="Onderwerp van opmerking Char"/>
    <w:basedOn w:val="TekstopmerkingChar"/>
    <w:link w:val="Onderwerpvanopmerking"/>
    <w:uiPriority w:val="99"/>
    <w:semiHidden/>
    <w:rsid w:val="0033129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HealthcareBrand">
      <a:dk1>
        <a:srgbClr val="1F2A3E"/>
      </a:dk1>
      <a:lt1>
        <a:srgbClr val="FAF5F2"/>
      </a:lt1>
      <a:dk2>
        <a:srgbClr val="44546A"/>
      </a:dk2>
      <a:lt2>
        <a:srgbClr val="E7E6E6"/>
      </a:lt2>
      <a:accent1>
        <a:srgbClr val="CC3333"/>
      </a:accent1>
      <a:accent2>
        <a:srgbClr val="2073B0"/>
      </a:accent2>
      <a:accent3>
        <a:srgbClr val="A5A5A5"/>
      </a:accent3>
      <a:accent4>
        <a:srgbClr val="FFC000"/>
      </a:accent4>
      <a:accent5>
        <a:srgbClr val="5B9BD5"/>
      </a:accent5>
      <a:accent6>
        <a:srgbClr val="70AD47"/>
      </a:accent6>
      <a:hlink>
        <a:srgbClr val="4472C4"/>
      </a:hlink>
      <a:folHlink>
        <a:srgbClr val="954F72"/>
      </a:folHlink>
    </a:clrScheme>
    <a:fontScheme name="HealthcareBrand">
      <a:majorFont>
        <a:latin typeface="Raleway"/>
        <a:ea typeface=""/>
        <a:cs typeface="Raleway"/>
      </a:majorFont>
      <a:minorFont>
        <a:latin typeface="Roboto Condensed"/>
        <a:ea typeface=""/>
        <a:cs typeface="Roboto Condense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1150b1d-110c-437d-ab24-bb979aeb7fde">
      <Terms xmlns="http://schemas.microsoft.com/office/infopath/2007/PartnerControls"/>
    </lcf76f155ced4ddcb4097134ff3c332f>
    <TaxCatchAll xmlns="e59251ca-214d-458d-90dc-0d736ed9299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C129B87AEC8774CB9076DB4191FA189" ma:contentTypeVersion="11" ma:contentTypeDescription="Een nieuw document maken." ma:contentTypeScope="" ma:versionID="12f10213867cc29d8c88ef8fa4be0c52">
  <xsd:schema xmlns:xsd="http://www.w3.org/2001/XMLSchema" xmlns:xs="http://www.w3.org/2001/XMLSchema" xmlns:p="http://schemas.microsoft.com/office/2006/metadata/properties" xmlns:ns2="81150b1d-110c-437d-ab24-bb979aeb7fde" xmlns:ns3="e59251ca-214d-458d-90dc-0d736ed9299b" targetNamespace="http://schemas.microsoft.com/office/2006/metadata/properties" ma:root="true" ma:fieldsID="4199ed83e5ef98c1c441463e8dd23b4d" ns2:_="" ns3:_="">
    <xsd:import namespace="81150b1d-110c-437d-ab24-bb979aeb7fde"/>
    <xsd:import namespace="e59251ca-214d-458d-90dc-0d736ed929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50b1d-110c-437d-ab24-bb979aeb7f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3408543b-a28d-43aa-95bb-90bf5448abe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9251ca-214d-458d-90dc-0d736ed9299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99f1f55-d186-4888-8fd1-6dd41d6ed9d9}" ma:internalName="TaxCatchAll" ma:showField="CatchAllData" ma:web="e59251ca-214d-458d-90dc-0d736ed929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CB0CE3-5A87-49FC-95A5-4298D57DE5FB}">
  <ds:schemaRefs>
    <ds:schemaRef ds:uri="http://schemas.microsoft.com/office/2006/metadata/properties"/>
    <ds:schemaRef ds:uri="http://schemas.microsoft.com/office/infopath/2007/PartnerControls"/>
    <ds:schemaRef ds:uri="81150b1d-110c-437d-ab24-bb979aeb7fde"/>
    <ds:schemaRef ds:uri="e59251ca-214d-458d-90dc-0d736ed9299b"/>
  </ds:schemaRefs>
</ds:datastoreItem>
</file>

<file path=customXml/itemProps2.xml><?xml version="1.0" encoding="utf-8"?>
<ds:datastoreItem xmlns:ds="http://schemas.openxmlformats.org/officeDocument/2006/customXml" ds:itemID="{73A68C24-E18D-4AE1-86D8-533F7982DB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150b1d-110c-437d-ab24-bb979aeb7fde"/>
    <ds:schemaRef ds:uri="e59251ca-214d-458d-90dc-0d736ed929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E18FD5-EA0D-4DD5-8AD0-3662D95FD9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2755</Words>
  <Characters>15157</Characters>
  <Application>Microsoft Office Word</Application>
  <DocSecurity>0</DocSecurity>
  <Lines>126</Lines>
  <Paragraphs>35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Stephan (Steven) van der Vlist</cp:lastModifiedBy>
  <cp:revision>5</cp:revision>
  <dcterms:created xsi:type="dcterms:W3CDTF">2026-06-25T09:19:00Z</dcterms:created>
  <dcterms:modified xsi:type="dcterms:W3CDTF">2026-07-01T15:37:00Z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0x010100AC129B87AEC8774CB9076DB4191FA189</vt:lpwstr>
  </property>
  <property fmtid="{D5CDD505-2E9C-101B-9397-08002B2CF9AE}" pid="3" name="docLang">
    <vt:lpwstr>nl</vt:lpwstr>
  </property>
  <property fmtid="{D5CDD505-2E9C-101B-9397-08002B2CF9AE}" pid="4" name="MediaServiceImageTags">
    <vt:lpwstr/>
  </property>
</Properties>
</file>